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5040"/>
        <w:gridCol w:w="4428"/>
      </w:tblGrid>
      <w:tr w:rsidR="00E55840" w:rsidRPr="00E26DB1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26DB1" w:rsidRDefault="00E55840">
            <w:pPr>
              <w:rPr>
                <w:b/>
                <w:color w:val="FFFFFF" w:themeColor="background1"/>
              </w:rPr>
            </w:pPr>
            <w:r w:rsidRPr="00E26DB1">
              <w:rPr>
                <w:b/>
                <w:color w:val="FFFFFF" w:themeColor="background1"/>
              </w:rPr>
              <w:t>Vancouver Island University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26DB1" w:rsidRDefault="00E55840" w:rsidP="00E55840">
            <w:pPr>
              <w:jc w:val="right"/>
              <w:rPr>
                <w:b/>
                <w:color w:val="FFFFFF" w:themeColor="background1"/>
              </w:rPr>
            </w:pPr>
            <w:r w:rsidRPr="00E26DB1">
              <w:rPr>
                <w:b/>
                <w:color w:val="FFFFFF" w:themeColor="background1"/>
              </w:rPr>
              <w:t>Faculty</w:t>
            </w:r>
            <w:r w:rsidR="00523615">
              <w:rPr>
                <w:b/>
                <w:color w:val="FFFFFF" w:themeColor="background1"/>
              </w:rPr>
              <w:t xml:space="preserve"> of Management</w:t>
            </w:r>
          </w:p>
        </w:tc>
      </w:tr>
      <w:tr w:rsidR="00E55840" w:rsidRPr="00E26DB1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26DB1" w:rsidRDefault="00E55840">
            <w:pPr>
              <w:rPr>
                <w:b/>
                <w:color w:val="FFFFFF" w:themeColor="background1"/>
              </w:rPr>
            </w:pPr>
            <w:r w:rsidRPr="00E26DB1">
              <w:rPr>
                <w:b/>
                <w:color w:val="FFFFFF" w:themeColor="background1"/>
              </w:rPr>
              <w:t>Summative Program Assessment Template 2012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26DB1" w:rsidRDefault="00E55840" w:rsidP="00BD3C4B">
            <w:pPr>
              <w:jc w:val="right"/>
              <w:rPr>
                <w:color w:val="FFFFFF" w:themeColor="background1"/>
              </w:rPr>
            </w:pPr>
          </w:p>
        </w:tc>
      </w:tr>
      <w:tr w:rsidR="00E55840" w:rsidRPr="00E26DB1" w:rsidTr="00E55840">
        <w:tc>
          <w:tcPr>
            <w:tcW w:w="9468" w:type="dxa"/>
            <w:gridSpan w:val="2"/>
            <w:shd w:val="clear" w:color="auto" w:fill="365F91" w:themeFill="accent1" w:themeFillShade="BF"/>
            <w:vAlign w:val="center"/>
          </w:tcPr>
          <w:p w:rsidR="00E55840" w:rsidRPr="00E26DB1" w:rsidRDefault="00E55840" w:rsidP="00880B35">
            <w:pPr>
              <w:rPr>
                <w:color w:val="FFFFFF" w:themeColor="background1"/>
              </w:rPr>
            </w:pPr>
            <w:r w:rsidRPr="00E26DB1">
              <w:rPr>
                <w:b/>
                <w:color w:val="FFFFFF" w:themeColor="background1"/>
              </w:rPr>
              <w:t xml:space="preserve">Program: </w:t>
            </w:r>
            <w:r w:rsidR="00311D1C" w:rsidRPr="00E26DB1">
              <w:rPr>
                <w:color w:val="FFFFFF" w:themeColor="background1"/>
              </w:rPr>
              <w:t>Bachelo</w:t>
            </w:r>
            <w:r w:rsidR="00880B35">
              <w:rPr>
                <w:color w:val="FFFFFF" w:themeColor="background1"/>
              </w:rPr>
              <w:t>r of Hospitality Management</w:t>
            </w:r>
          </w:p>
        </w:tc>
      </w:tr>
    </w:tbl>
    <w:p w:rsidR="00756880" w:rsidRDefault="00E55840" w:rsidP="00F54FA4">
      <w:pPr>
        <w:spacing w:before="120" w:line="240" w:lineRule="auto"/>
        <w:ind w:left="1440"/>
        <w:rPr>
          <w:b/>
          <w:i/>
        </w:rPr>
      </w:pPr>
      <w:r w:rsidRPr="00E26DB1">
        <w:rPr>
          <w:b/>
          <w:i/>
        </w:rPr>
        <w:t>Context</w:t>
      </w:r>
    </w:p>
    <w:p w:rsidR="00BD3C4B" w:rsidRPr="00756880" w:rsidRDefault="009D1B1E" w:rsidP="00756880">
      <w:pPr>
        <w:pStyle w:val="ListParagraph"/>
        <w:numPr>
          <w:ilvl w:val="0"/>
          <w:numId w:val="1"/>
        </w:numPr>
        <w:spacing w:before="120" w:line="240" w:lineRule="auto"/>
        <w:rPr>
          <w:b/>
          <w:i/>
        </w:rPr>
      </w:pPr>
      <w:r w:rsidRPr="00E26DB1">
        <w:t>The Bac</w:t>
      </w:r>
      <w:r w:rsidR="004E53E4">
        <w:t xml:space="preserve">helor of Hospitality Management, </w:t>
      </w:r>
      <w:r w:rsidR="00C95407">
        <w:t>an appli</w:t>
      </w:r>
      <w:r w:rsidR="00DF6EF3">
        <w:t>ed professional business degree</w:t>
      </w:r>
      <w:r w:rsidR="004E53E4">
        <w:t xml:space="preserve">, </w:t>
      </w:r>
      <w:r w:rsidR="00AC298E">
        <w:t xml:space="preserve">was </w:t>
      </w:r>
      <w:r w:rsidR="00BD3C4B" w:rsidRPr="00E26DB1">
        <w:t xml:space="preserve">approved in </w:t>
      </w:r>
      <w:r w:rsidRPr="00E26DB1">
        <w:t>2007, with the first 3</w:t>
      </w:r>
      <w:r w:rsidRPr="00756880">
        <w:rPr>
          <w:vertAlign w:val="superscript"/>
        </w:rPr>
        <w:t>rd</w:t>
      </w:r>
      <w:r w:rsidRPr="00E26DB1">
        <w:t xml:space="preserve"> year intake in September 2008</w:t>
      </w:r>
      <w:r w:rsidR="00BD3C4B" w:rsidRPr="00E26DB1">
        <w:t>.</w:t>
      </w:r>
      <w:r w:rsidR="00265DA5" w:rsidRPr="00E26DB1">
        <w:t xml:space="preserve"> </w:t>
      </w:r>
    </w:p>
    <w:p w:rsidR="00EF211C" w:rsidRPr="00E26DB1" w:rsidRDefault="00EF211C" w:rsidP="004E53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26DB1">
        <w:rPr>
          <w:rFonts w:eastAsia="Times New Roman" w:cs="Times New Roman"/>
          <w:color w:val="000000"/>
          <w:shd w:val="clear" w:color="auto" w:fill="FFFFFF"/>
        </w:rPr>
        <w:t xml:space="preserve">The </w:t>
      </w:r>
      <w:proofErr w:type="gramStart"/>
      <w:r w:rsidRPr="00E26DB1">
        <w:rPr>
          <w:rFonts w:eastAsia="Times New Roman" w:cs="Times New Roman"/>
          <w:color w:val="000000"/>
          <w:shd w:val="clear" w:color="auto" w:fill="FFFFFF"/>
        </w:rPr>
        <w:t xml:space="preserve">program </w:t>
      </w:r>
      <w:r w:rsidR="00756880">
        <w:rPr>
          <w:rFonts w:eastAsia="Times New Roman" w:cs="Times New Roman"/>
          <w:color w:val="000000"/>
          <w:shd w:val="clear" w:color="auto" w:fill="FFFFFF"/>
        </w:rPr>
        <w:t>,</w:t>
      </w:r>
      <w:proofErr w:type="gramEnd"/>
      <w:r w:rsidR="00756880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26DB1">
        <w:rPr>
          <w:rFonts w:eastAsia="Times New Roman" w:cs="Times New Roman"/>
          <w:color w:val="000000"/>
          <w:shd w:val="clear" w:color="auto" w:fill="FFFFFF"/>
        </w:rPr>
        <w:t>deve</w:t>
      </w:r>
      <w:r w:rsidR="00756880">
        <w:rPr>
          <w:rFonts w:eastAsia="Times New Roman" w:cs="Times New Roman"/>
          <w:color w:val="000000"/>
          <w:shd w:val="clear" w:color="auto" w:fill="FFFFFF"/>
        </w:rPr>
        <w:t xml:space="preserve">loped as a 2+ 2 model, allows </w:t>
      </w:r>
      <w:r w:rsidRPr="00E26DB1">
        <w:rPr>
          <w:rFonts w:eastAsia="Times New Roman" w:cs="Times New Roman"/>
          <w:color w:val="000000"/>
          <w:shd w:val="clear" w:color="auto" w:fill="FFFFFF"/>
        </w:rPr>
        <w:t xml:space="preserve">graduates of </w:t>
      </w:r>
      <w:r>
        <w:rPr>
          <w:rFonts w:eastAsia="Times New Roman" w:cs="Times New Roman"/>
          <w:color w:val="000000"/>
          <w:shd w:val="clear" w:color="auto" w:fill="FFFFFF"/>
        </w:rPr>
        <w:t xml:space="preserve">VIU’s and </w:t>
      </w:r>
      <w:r w:rsidR="001645C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other </w:t>
      </w:r>
      <w:r w:rsidR="00AC298E">
        <w:rPr>
          <w:rFonts w:eastAsia="Times New Roman" w:cs="Times New Roman"/>
          <w:color w:val="000000"/>
          <w:shd w:val="clear" w:color="auto" w:fill="FFFFFF"/>
        </w:rPr>
        <w:t xml:space="preserve">colleges’ </w:t>
      </w:r>
      <w:r w:rsidRPr="00E26DB1">
        <w:rPr>
          <w:rFonts w:eastAsia="Times New Roman" w:cs="Times New Roman"/>
          <w:color w:val="000000"/>
          <w:shd w:val="clear" w:color="auto" w:fill="FFFFFF"/>
        </w:rPr>
        <w:t>Hospitality Diploma programs</w:t>
      </w:r>
      <w:r w:rsidR="001645C5">
        <w:rPr>
          <w:rFonts w:eastAsia="Times New Roman" w:cs="Times New Roman"/>
          <w:color w:val="000000"/>
          <w:shd w:val="clear" w:color="auto" w:fill="FFFFFF"/>
        </w:rPr>
        <w:t xml:space="preserve"> ,</w:t>
      </w:r>
      <w:r w:rsidRPr="00E26DB1">
        <w:rPr>
          <w:rFonts w:eastAsia="Times New Roman" w:cs="Times New Roman"/>
          <w:color w:val="000000"/>
          <w:shd w:val="clear" w:color="auto" w:fill="FFFFFF"/>
        </w:rPr>
        <w:t xml:space="preserve">domestically and </w:t>
      </w:r>
      <w:r w:rsidR="00540A2C" w:rsidRPr="00E26DB1">
        <w:rPr>
          <w:rFonts w:eastAsia="Times New Roman" w:cs="Times New Roman"/>
          <w:color w:val="000000"/>
          <w:shd w:val="clear" w:color="auto" w:fill="FFFFFF"/>
        </w:rPr>
        <w:t>internationally</w:t>
      </w:r>
      <w:r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Pr="00E26DB1">
        <w:rPr>
          <w:rFonts w:eastAsia="Times New Roman" w:cs="Times New Roman"/>
          <w:color w:val="000000"/>
          <w:shd w:val="clear" w:color="auto" w:fill="FFFFFF"/>
        </w:rPr>
        <w:t xml:space="preserve">to ladder into the degree. </w:t>
      </w:r>
    </w:p>
    <w:p w:rsidR="00C95407" w:rsidRPr="00E26DB1" w:rsidRDefault="004E53E4" w:rsidP="004E53E4">
      <w:pPr>
        <w:pStyle w:val="ListParagraph"/>
        <w:numPr>
          <w:ilvl w:val="0"/>
          <w:numId w:val="1"/>
        </w:numPr>
        <w:spacing w:before="120" w:line="240" w:lineRule="auto"/>
      </w:pPr>
      <w:r>
        <w:t xml:space="preserve">To </w:t>
      </w:r>
      <w:r w:rsidR="00EF211C">
        <w:t xml:space="preserve">achieve depth </w:t>
      </w:r>
      <w:r w:rsidR="001645C5">
        <w:t xml:space="preserve">and breadth </w:t>
      </w:r>
      <w:r w:rsidR="00EF211C">
        <w:t>of learning</w:t>
      </w:r>
      <w:r w:rsidR="001645C5">
        <w:t xml:space="preserve"> and development of critical thinking skills</w:t>
      </w:r>
      <w:r w:rsidR="00EF211C">
        <w:t xml:space="preserve">, the </w:t>
      </w:r>
      <w:r w:rsidR="00540A2C">
        <w:t>curriculum</w:t>
      </w:r>
      <w:r w:rsidR="001779D5">
        <w:t xml:space="preserve"> </w:t>
      </w:r>
      <w:r w:rsidR="00756880">
        <w:t xml:space="preserve">is </w:t>
      </w:r>
      <w:r w:rsidR="001779D5">
        <w:t xml:space="preserve">interdisciplinary </w:t>
      </w:r>
      <w:r w:rsidR="00C95407">
        <w:t xml:space="preserve">involving liberal studies, general electives, and </w:t>
      </w:r>
      <w:r w:rsidR="00F54FA4">
        <w:t xml:space="preserve">FOM </w:t>
      </w:r>
      <w:r w:rsidR="00756880">
        <w:t xml:space="preserve">electives. </w:t>
      </w:r>
    </w:p>
    <w:p w:rsidR="009C3891" w:rsidRPr="00E26DB1" w:rsidRDefault="009C3891" w:rsidP="004E53E4">
      <w:pPr>
        <w:pStyle w:val="ListParagraph"/>
        <w:numPr>
          <w:ilvl w:val="0"/>
          <w:numId w:val="1"/>
        </w:numPr>
        <w:spacing w:before="120" w:line="240" w:lineRule="auto"/>
      </w:pPr>
      <w:r>
        <w:t xml:space="preserve">A key </w:t>
      </w:r>
      <w:r w:rsidR="004E53E4">
        <w:t xml:space="preserve">enrolment and marketing strategy </w:t>
      </w:r>
      <w:r w:rsidR="001A65ED">
        <w:t xml:space="preserve">has been the </w:t>
      </w:r>
      <w:r>
        <w:t xml:space="preserve">signing </w:t>
      </w:r>
      <w:r w:rsidR="001A65ED">
        <w:t>of a</w:t>
      </w:r>
      <w:r w:rsidR="00641FBB">
        <w:t>rticulation</w:t>
      </w:r>
      <w:r w:rsidR="001A65ED">
        <w:t xml:space="preserve"> a</w:t>
      </w:r>
      <w:r>
        <w:t xml:space="preserve">greements with colleges across British Columbia and Canada.  </w:t>
      </w:r>
    </w:p>
    <w:p w:rsidR="00265DA5" w:rsidRPr="00E26DB1" w:rsidRDefault="00265DA5" w:rsidP="004E53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26DB1">
        <w:rPr>
          <w:rFonts w:eastAsia="Times New Roman" w:cs="Times New Roman"/>
          <w:color w:val="000000"/>
          <w:shd w:val="clear" w:color="auto" w:fill="FFFFFF"/>
        </w:rPr>
        <w:t xml:space="preserve">The program offers robust and evidence-based career related learning for students. </w:t>
      </w:r>
      <w:r w:rsidR="008D7D5D">
        <w:rPr>
          <w:rFonts w:eastAsia="Times New Roman" w:cs="Times New Roman"/>
          <w:color w:val="000000"/>
          <w:shd w:val="clear" w:color="auto" w:fill="FFFFFF"/>
        </w:rPr>
        <w:t xml:space="preserve">Required </w:t>
      </w:r>
      <w:r w:rsidRPr="00E26DB1">
        <w:rPr>
          <w:rFonts w:eastAsia="Times New Roman" w:cs="Times New Roman"/>
          <w:color w:val="000000"/>
          <w:shd w:val="clear" w:color="auto" w:fill="FFFFFF"/>
        </w:rPr>
        <w:t xml:space="preserve">Cooperative Education within the program provides strong career and retention advantages, connecting program and students to communities and the local, regional, national and international </w:t>
      </w:r>
      <w:proofErr w:type="spellStart"/>
      <w:r w:rsidRPr="00E26DB1">
        <w:rPr>
          <w:rFonts w:eastAsia="Times New Roman" w:cs="Times New Roman"/>
          <w:color w:val="000000"/>
          <w:shd w:val="clear" w:color="auto" w:fill="FFFFFF"/>
        </w:rPr>
        <w:t>labour</w:t>
      </w:r>
      <w:proofErr w:type="spellEnd"/>
      <w:r w:rsidRPr="00E26DB1">
        <w:rPr>
          <w:rFonts w:eastAsia="Times New Roman" w:cs="Times New Roman"/>
          <w:color w:val="000000"/>
          <w:shd w:val="clear" w:color="auto" w:fill="FFFFFF"/>
        </w:rPr>
        <w:t xml:space="preserve"> market. Students are required to complete one </w:t>
      </w:r>
      <w:r w:rsidR="00B92898" w:rsidRPr="00E26DB1">
        <w:rPr>
          <w:rFonts w:eastAsia="Times New Roman" w:cs="Times New Roman"/>
          <w:color w:val="000000"/>
          <w:shd w:val="clear" w:color="auto" w:fill="FFFFFF"/>
        </w:rPr>
        <w:t>four-month</w:t>
      </w:r>
      <w:r w:rsidRPr="00E26DB1">
        <w:rPr>
          <w:rFonts w:eastAsia="Times New Roman" w:cs="Times New Roman"/>
          <w:color w:val="000000"/>
          <w:shd w:val="clear" w:color="auto" w:fill="FFFFFF"/>
        </w:rPr>
        <w:t xml:space="preserve"> experiential learning work terms.</w:t>
      </w:r>
    </w:p>
    <w:p w:rsidR="009C3891" w:rsidRPr="004E53E4" w:rsidRDefault="001779D5" w:rsidP="004E53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The BH</w:t>
      </w:r>
      <w:r w:rsidR="00D8173B" w:rsidRPr="00E26DB1">
        <w:rPr>
          <w:rFonts w:eastAsia="Times New Roman" w:cs="Times New Roman"/>
          <w:color w:val="000000"/>
          <w:shd w:val="clear" w:color="auto" w:fill="FFFFFF"/>
        </w:rPr>
        <w:t>M has developed a ladder for Culinary Arts diploma graduates to ladder into the degree. This is a unique option for th</w:t>
      </w:r>
      <w:r w:rsidR="009C3891">
        <w:rPr>
          <w:rFonts w:eastAsia="Times New Roman" w:cs="Times New Roman"/>
          <w:color w:val="000000"/>
          <w:shd w:val="clear" w:color="auto" w:fill="FFFFFF"/>
        </w:rPr>
        <w:t xml:space="preserve">e culinary student and those currently employed in the culinary field. </w:t>
      </w:r>
    </w:p>
    <w:p w:rsidR="00F54FA4" w:rsidRDefault="00E55840" w:rsidP="00F54FA4">
      <w:pPr>
        <w:spacing w:line="240" w:lineRule="auto"/>
        <w:ind w:left="1440"/>
        <w:rPr>
          <w:b/>
          <w:i/>
        </w:rPr>
      </w:pPr>
      <w:r w:rsidRPr="00E26DB1">
        <w:rPr>
          <w:b/>
          <w:i/>
        </w:rPr>
        <w:t>Relevance</w:t>
      </w:r>
    </w:p>
    <w:p w:rsidR="00451586" w:rsidRPr="00F54FA4" w:rsidRDefault="00451586" w:rsidP="00F54FA4">
      <w:pPr>
        <w:pStyle w:val="ListParagraph"/>
        <w:numPr>
          <w:ilvl w:val="0"/>
          <w:numId w:val="10"/>
        </w:numPr>
        <w:spacing w:line="240" w:lineRule="auto"/>
        <w:rPr>
          <w:b/>
          <w:i/>
        </w:rPr>
      </w:pPr>
      <w:r w:rsidRPr="00E26DB1">
        <w:t xml:space="preserve">Over the surveyed period, the FTE </w:t>
      </w:r>
      <w:r w:rsidR="009C3891">
        <w:t xml:space="preserve">and head count </w:t>
      </w:r>
      <w:r w:rsidR="00641FBB" w:rsidRPr="00E26DB1">
        <w:t>numbers</w:t>
      </w:r>
      <w:r w:rsidR="009C3891">
        <w:t xml:space="preserve"> </w:t>
      </w:r>
      <w:r w:rsidRPr="00E26DB1">
        <w:t xml:space="preserve">have </w:t>
      </w:r>
      <w:r w:rsidR="00D8173B" w:rsidRPr="00E26DB1">
        <w:t xml:space="preserve">grown </w:t>
      </w:r>
      <w:r w:rsidR="001779D5">
        <w:t xml:space="preserve">by </w:t>
      </w:r>
      <w:r w:rsidR="00756880">
        <w:t xml:space="preserve">forty percent with graduates of 7 and 10 in the only two graduating classes. </w:t>
      </w:r>
    </w:p>
    <w:p w:rsidR="00D8173B" w:rsidRPr="00E26DB1" w:rsidRDefault="00451586" w:rsidP="004E53E4">
      <w:pPr>
        <w:pStyle w:val="ListParagraph"/>
        <w:numPr>
          <w:ilvl w:val="0"/>
          <w:numId w:val="2"/>
        </w:numPr>
        <w:spacing w:line="240" w:lineRule="auto"/>
      </w:pPr>
      <w:r w:rsidRPr="00E26DB1">
        <w:t xml:space="preserve">The program </w:t>
      </w:r>
      <w:r w:rsidR="009C3891">
        <w:t>attracts students new to VIU, g</w:t>
      </w:r>
      <w:r w:rsidRPr="00E26DB1">
        <w:t xml:space="preserve">rowing from </w:t>
      </w:r>
      <w:r w:rsidR="009C3891">
        <w:t xml:space="preserve">twenty to thirty-three </w:t>
      </w:r>
      <w:r w:rsidR="00641FBB">
        <w:t xml:space="preserve">percent </w:t>
      </w:r>
      <w:r w:rsidR="00641FBB" w:rsidRPr="00E26DB1">
        <w:t>in</w:t>
      </w:r>
      <w:r w:rsidRPr="00E26DB1">
        <w:t xml:space="preserve"> 2010. </w:t>
      </w:r>
    </w:p>
    <w:p w:rsidR="00D8173B" w:rsidRPr="00E26DB1" w:rsidRDefault="00C53A51" w:rsidP="004E53E4">
      <w:pPr>
        <w:pStyle w:val="ListParagraph"/>
        <w:numPr>
          <w:ilvl w:val="0"/>
          <w:numId w:val="2"/>
        </w:numPr>
        <w:spacing w:line="240" w:lineRule="auto"/>
      </w:pPr>
      <w:r w:rsidRPr="00E26DB1">
        <w:t xml:space="preserve">In the </w:t>
      </w:r>
      <w:r w:rsidR="00641FBB" w:rsidRPr="00E26DB1">
        <w:t>fall</w:t>
      </w:r>
      <w:r w:rsidRPr="00E26DB1">
        <w:t xml:space="preserve"> 2011, this growth has continued with </w:t>
      </w:r>
      <w:r w:rsidR="00756880">
        <w:t>50%</w:t>
      </w:r>
      <w:r w:rsidR="00451586" w:rsidRPr="00E26DB1">
        <w:t xml:space="preserve"> of t</w:t>
      </w:r>
      <w:r w:rsidR="00D8173B" w:rsidRPr="00E26DB1">
        <w:t xml:space="preserve">he </w:t>
      </w:r>
      <w:r w:rsidR="00756880">
        <w:t>3</w:t>
      </w:r>
      <w:r w:rsidR="00756880" w:rsidRPr="00756880">
        <w:rPr>
          <w:vertAlign w:val="superscript"/>
        </w:rPr>
        <w:t>rd</w:t>
      </w:r>
      <w:r w:rsidR="00756880">
        <w:t xml:space="preserve"> </w:t>
      </w:r>
      <w:r w:rsidR="00D8173B" w:rsidRPr="00E26DB1">
        <w:t>year students</w:t>
      </w:r>
      <w:r w:rsidR="00451586" w:rsidRPr="00E26DB1">
        <w:t xml:space="preserve"> new to VIU</w:t>
      </w:r>
      <w:r w:rsidR="00D8173B" w:rsidRPr="00E26DB1">
        <w:t xml:space="preserve"> </w:t>
      </w:r>
      <w:r w:rsidRPr="00E26DB1">
        <w:t xml:space="preserve">and </w:t>
      </w:r>
      <w:r w:rsidR="00D8173B" w:rsidRPr="00E26DB1">
        <w:t xml:space="preserve">from </w:t>
      </w:r>
      <w:r w:rsidR="009C3891">
        <w:t xml:space="preserve">eight </w:t>
      </w:r>
      <w:r w:rsidR="00AC298E">
        <w:t xml:space="preserve">different colleges globally. </w:t>
      </w:r>
    </w:p>
    <w:p w:rsidR="00E55840" w:rsidRPr="00756880" w:rsidRDefault="00E55840" w:rsidP="00756880">
      <w:pPr>
        <w:pStyle w:val="ListParagraph"/>
        <w:spacing w:line="240" w:lineRule="auto"/>
        <w:ind w:left="1440"/>
      </w:pPr>
      <w:r w:rsidRPr="00756880">
        <w:rPr>
          <w:b/>
          <w:i/>
        </w:rPr>
        <w:t>Access</w:t>
      </w:r>
    </w:p>
    <w:p w:rsidR="009C3891" w:rsidRDefault="009C3891" w:rsidP="004E53E4">
      <w:pPr>
        <w:pStyle w:val="ListParagraph"/>
        <w:numPr>
          <w:ilvl w:val="0"/>
          <w:numId w:val="3"/>
        </w:numPr>
        <w:spacing w:line="240" w:lineRule="auto"/>
      </w:pPr>
      <w:r>
        <w:t>The BHM program is actively building articulation agreements with colleges across Canada.   These agreements provide seamless degree completion opportunities that might no</w:t>
      </w:r>
      <w:r w:rsidR="00641FBB">
        <w:t xml:space="preserve">t be otherwise available to these </w:t>
      </w:r>
      <w:r>
        <w:t xml:space="preserve">diploma graduates. </w:t>
      </w:r>
    </w:p>
    <w:p w:rsidR="009C3891" w:rsidRDefault="009C3891" w:rsidP="004E53E4">
      <w:pPr>
        <w:pStyle w:val="ListParagraph"/>
        <w:numPr>
          <w:ilvl w:val="0"/>
          <w:numId w:val="3"/>
        </w:numPr>
        <w:spacing w:line="240" w:lineRule="auto"/>
      </w:pPr>
      <w:r>
        <w:t>The program has actively</w:t>
      </w:r>
      <w:r w:rsidR="00756880">
        <w:t xml:space="preserve"> uses PLA; and accepts</w:t>
      </w:r>
      <w:r w:rsidR="00306647">
        <w:t xml:space="preserve"> transfer credits from other programs and institutions. </w:t>
      </w:r>
    </w:p>
    <w:p w:rsidR="00306647" w:rsidRDefault="00306647" w:rsidP="004E53E4">
      <w:pPr>
        <w:pStyle w:val="ListParagraph"/>
        <w:numPr>
          <w:ilvl w:val="0"/>
          <w:numId w:val="3"/>
        </w:numPr>
        <w:spacing w:line="240" w:lineRule="auto"/>
      </w:pPr>
      <w:r>
        <w:t xml:space="preserve">Students are able to complete the program on a part-time basis; or on a lighter course load. </w:t>
      </w:r>
    </w:p>
    <w:p w:rsidR="00297462" w:rsidRDefault="00297462" w:rsidP="004E53E4">
      <w:pPr>
        <w:pStyle w:val="ListParagraph"/>
        <w:numPr>
          <w:ilvl w:val="0"/>
          <w:numId w:val="3"/>
        </w:numPr>
        <w:spacing w:line="240" w:lineRule="auto"/>
      </w:pPr>
      <w:r>
        <w:t>The program has lifted reserves to permit students from other programs into the courses.</w:t>
      </w:r>
    </w:p>
    <w:p w:rsidR="00AC298E" w:rsidRDefault="00297462" w:rsidP="004E53E4">
      <w:pPr>
        <w:pStyle w:val="ListParagraph"/>
        <w:numPr>
          <w:ilvl w:val="0"/>
          <w:numId w:val="3"/>
        </w:numPr>
        <w:spacing w:line="240" w:lineRule="auto"/>
      </w:pPr>
      <w:r>
        <w:t xml:space="preserve">The program </w:t>
      </w:r>
      <w:r w:rsidR="003C674F">
        <w:t>offers</w:t>
      </w:r>
      <w:r>
        <w:t xml:space="preserve"> limited </w:t>
      </w:r>
      <w:r w:rsidR="00AC298E">
        <w:t xml:space="preserve">January </w:t>
      </w:r>
      <w:r w:rsidR="003C674F">
        <w:t>intake</w:t>
      </w:r>
      <w:r w:rsidR="00AC298E">
        <w:t xml:space="preserve">. </w:t>
      </w:r>
      <w:r>
        <w:t xml:space="preserve"> </w:t>
      </w:r>
    </w:p>
    <w:p w:rsidR="00015D54" w:rsidRDefault="00C53A51" w:rsidP="004E53E4">
      <w:pPr>
        <w:pStyle w:val="ListParagraph"/>
        <w:numPr>
          <w:ilvl w:val="0"/>
          <w:numId w:val="3"/>
        </w:numPr>
        <w:spacing w:line="240" w:lineRule="auto"/>
      </w:pPr>
      <w:r w:rsidRPr="00E26DB1">
        <w:t xml:space="preserve">The program has had aboriginal students in each year of its delivery. </w:t>
      </w:r>
    </w:p>
    <w:p w:rsidR="001779D5" w:rsidRDefault="00306647" w:rsidP="004E53E4">
      <w:pPr>
        <w:pStyle w:val="ListParagraph"/>
        <w:numPr>
          <w:ilvl w:val="0"/>
          <w:numId w:val="3"/>
        </w:numPr>
        <w:spacing w:line="240" w:lineRule="auto"/>
      </w:pPr>
      <w:r>
        <w:t xml:space="preserve">The program has developed a pathway for culinary arts graduates to enter into the BHM. </w:t>
      </w:r>
      <w:r w:rsidR="004D574B" w:rsidRPr="00E26DB1">
        <w:tab/>
      </w:r>
    </w:p>
    <w:p w:rsidR="00306647" w:rsidRPr="00756880" w:rsidRDefault="00FF0B09" w:rsidP="00756880">
      <w:pPr>
        <w:pStyle w:val="ListParagraph"/>
        <w:numPr>
          <w:ilvl w:val="0"/>
          <w:numId w:val="3"/>
        </w:numPr>
      </w:pPr>
      <w:r>
        <w:t>Some g</w:t>
      </w:r>
      <w:r w:rsidR="00B92898">
        <w:t xml:space="preserve">raduates have continued their education and successfully </w:t>
      </w:r>
      <w:r w:rsidR="001779D5">
        <w:t>complete</w:t>
      </w:r>
      <w:r w:rsidR="00B92898">
        <w:t>d</w:t>
      </w:r>
      <w:r w:rsidR="001779D5">
        <w:t xml:space="preserve"> the MBA at VIU. </w:t>
      </w:r>
      <w:r w:rsidR="004D574B" w:rsidRPr="00E26DB1">
        <w:tab/>
      </w:r>
      <w:r w:rsidR="00E55840" w:rsidRPr="00756880">
        <w:rPr>
          <w:b/>
          <w:i/>
        </w:rPr>
        <w:t>Financial Performance</w:t>
      </w:r>
    </w:p>
    <w:p w:rsidR="00C24088" w:rsidRPr="00E26DB1" w:rsidRDefault="00F54FA4" w:rsidP="004E53E4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>P</w:t>
      </w:r>
      <w:r w:rsidR="00756880">
        <w:t>r</w:t>
      </w:r>
      <w:r w:rsidR="00DF6F5F">
        <w:t xml:space="preserve">ogram delivery in 2010 was </w:t>
      </w:r>
      <w:r>
        <w:t>78.2% with t</w:t>
      </w:r>
      <w:r w:rsidR="00C24088" w:rsidRPr="00E26DB1">
        <w:t xml:space="preserve">he average cost per FTE in 2009 was $5060; while in 2010 it </w:t>
      </w:r>
      <w:r>
        <w:t xml:space="preserve">decreased to </w:t>
      </w:r>
      <w:r w:rsidR="00C24088" w:rsidRPr="00E26DB1">
        <w:t xml:space="preserve">$4792. </w:t>
      </w:r>
    </w:p>
    <w:p w:rsidR="00C24088" w:rsidRPr="00E26DB1" w:rsidRDefault="00756880" w:rsidP="004E53E4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 xml:space="preserve">One </w:t>
      </w:r>
      <w:r w:rsidR="00C24088" w:rsidRPr="00E26DB1">
        <w:t xml:space="preserve">strategy </w:t>
      </w:r>
      <w:r>
        <w:t xml:space="preserve">to improve cost and improve course enrolment </w:t>
      </w:r>
      <w:r w:rsidR="00C24088" w:rsidRPr="00E26DB1">
        <w:t>is to deliver some courses in alternative years in which both 3</w:t>
      </w:r>
      <w:r w:rsidR="00C24088" w:rsidRPr="00E26DB1">
        <w:rPr>
          <w:vertAlign w:val="superscript"/>
        </w:rPr>
        <w:t>rd</w:t>
      </w:r>
      <w:r w:rsidR="00C24088" w:rsidRPr="00E26DB1">
        <w:t xml:space="preserve"> and 4</w:t>
      </w:r>
      <w:r w:rsidR="00C24088" w:rsidRPr="00E26DB1">
        <w:rPr>
          <w:vertAlign w:val="superscript"/>
        </w:rPr>
        <w:t>th</w:t>
      </w:r>
      <w:r>
        <w:t xml:space="preserve"> year students take together.   R</w:t>
      </w:r>
      <w:r w:rsidR="00FF0B09">
        <w:t>equired BH</w:t>
      </w:r>
      <w:r w:rsidR="00C24088" w:rsidRPr="00E26DB1">
        <w:t>M course</w:t>
      </w:r>
      <w:r>
        <w:t>s</w:t>
      </w:r>
      <w:r w:rsidR="00C24088" w:rsidRPr="00E26DB1">
        <w:t xml:space="preserve"> </w:t>
      </w:r>
      <w:r>
        <w:t>are reduced from 12 to 10 with</w:t>
      </w:r>
      <w:r w:rsidR="00AE1B36">
        <w:t>out</w:t>
      </w:r>
      <w:r>
        <w:t xml:space="preserve"> compromising delivery or quality. </w:t>
      </w:r>
    </w:p>
    <w:p w:rsidR="00306647" w:rsidRPr="00F54FA4" w:rsidRDefault="00756880" w:rsidP="004E53E4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 xml:space="preserve">Another strategy is to lift </w:t>
      </w:r>
      <w:r w:rsidR="00C24088" w:rsidRPr="00E26DB1">
        <w:t>reserves in August to selected courses to</w:t>
      </w:r>
      <w:r w:rsidR="00FF0B09">
        <w:t xml:space="preserve"> allow other students to enroll in the courses and get a taste of Hospitality Management</w:t>
      </w:r>
      <w:r w:rsidR="00C24088" w:rsidRPr="00E26DB1">
        <w:t xml:space="preserve">. </w:t>
      </w:r>
    </w:p>
    <w:p w:rsidR="00F54FA4" w:rsidRPr="00F54FA4" w:rsidRDefault="00F54FA4" w:rsidP="00F54FA4">
      <w:pPr>
        <w:spacing w:line="240" w:lineRule="auto"/>
        <w:rPr>
          <w:b/>
          <w:i/>
        </w:rPr>
      </w:pPr>
    </w:p>
    <w:p w:rsidR="00306647" w:rsidRPr="00306647" w:rsidRDefault="00C24088" w:rsidP="00306647">
      <w:pPr>
        <w:pStyle w:val="ListParagraph"/>
        <w:ind w:left="360"/>
        <w:rPr>
          <w:b/>
          <w:i/>
        </w:rPr>
      </w:pPr>
      <w:r w:rsidRPr="00E26DB1">
        <w:rPr>
          <w:b/>
          <w:i/>
        </w:rPr>
        <w:lastRenderedPageBreak/>
        <w:t>Quality</w:t>
      </w:r>
    </w:p>
    <w:p w:rsidR="00306647" w:rsidRDefault="00AC298E" w:rsidP="004E53E4">
      <w:pPr>
        <w:pStyle w:val="ListParagraph"/>
        <w:numPr>
          <w:ilvl w:val="0"/>
          <w:numId w:val="6"/>
        </w:numPr>
        <w:spacing w:line="240" w:lineRule="auto"/>
      </w:pPr>
      <w:r>
        <w:t xml:space="preserve">The program </w:t>
      </w:r>
      <w:r w:rsidR="00DC6C48">
        <w:t>has on-</w:t>
      </w:r>
      <w:r>
        <w:t xml:space="preserve"> going</w:t>
      </w:r>
      <w:r w:rsidR="00306647">
        <w:t xml:space="preserve"> community engagement with the Hospitality Industry.  Students completed projects for the Nanaimo Conference Center </w:t>
      </w:r>
      <w:r>
        <w:t>along with rebranding research</w:t>
      </w:r>
      <w:r w:rsidR="00306647">
        <w:t xml:space="preserve"> for a </w:t>
      </w:r>
      <w:r>
        <w:t xml:space="preserve">VI </w:t>
      </w:r>
      <w:r w:rsidR="00306647">
        <w:t xml:space="preserve">resort property. </w:t>
      </w:r>
    </w:p>
    <w:p w:rsidR="00DC6C48" w:rsidRDefault="00B92898" w:rsidP="004E53E4">
      <w:pPr>
        <w:pStyle w:val="ListParagraph"/>
        <w:numPr>
          <w:ilvl w:val="0"/>
          <w:numId w:val="6"/>
        </w:numPr>
        <w:spacing w:line="240" w:lineRule="auto"/>
      </w:pPr>
      <w:r>
        <w:t xml:space="preserve">There are </w:t>
      </w:r>
      <w:bookmarkStart w:id="0" w:name="_GoBack"/>
      <w:bookmarkEnd w:id="0"/>
      <w:r w:rsidR="00EF211C">
        <w:t xml:space="preserve">strong applied research </w:t>
      </w:r>
      <w:r>
        <w:t>requirements</w:t>
      </w:r>
      <w:r w:rsidR="00DC6C48">
        <w:t xml:space="preserve"> across the curriculum. </w:t>
      </w:r>
    </w:p>
    <w:p w:rsidR="00306647" w:rsidRPr="00E26DB1" w:rsidRDefault="00306647" w:rsidP="004E53E4">
      <w:pPr>
        <w:pStyle w:val="ListParagraph"/>
        <w:numPr>
          <w:ilvl w:val="0"/>
          <w:numId w:val="6"/>
        </w:numPr>
        <w:spacing w:line="240" w:lineRule="auto"/>
      </w:pPr>
      <w:r>
        <w:t xml:space="preserve">The co-operative education experiences are </w:t>
      </w:r>
      <w:r w:rsidR="004E53E4">
        <w:t xml:space="preserve">in </w:t>
      </w:r>
      <w:r>
        <w:t xml:space="preserve">respected hotel and resort brands. </w:t>
      </w:r>
    </w:p>
    <w:p w:rsidR="00E26DB1" w:rsidRDefault="00C24088" w:rsidP="004E53E4">
      <w:pPr>
        <w:pStyle w:val="ListParagraph"/>
        <w:numPr>
          <w:ilvl w:val="0"/>
          <w:numId w:val="6"/>
        </w:numPr>
        <w:spacing w:line="240" w:lineRule="auto"/>
      </w:pPr>
      <w:r w:rsidRPr="00E26DB1">
        <w:t xml:space="preserve">The program has a strong awareness of the Employability Skills from the Conference Board of Canada.  Many of the activities in classrooms or practical labs require students to take leadership roles, do </w:t>
      </w:r>
      <w:r w:rsidR="00306647">
        <w:t xml:space="preserve">public speaking or problem solving. </w:t>
      </w:r>
    </w:p>
    <w:p w:rsidR="00540A2C" w:rsidRPr="00DC6C48" w:rsidRDefault="00540A2C" w:rsidP="004E53E4">
      <w:pPr>
        <w:pStyle w:val="ListParagraph"/>
        <w:numPr>
          <w:ilvl w:val="0"/>
          <w:numId w:val="6"/>
        </w:numPr>
        <w:spacing w:line="240" w:lineRule="auto"/>
      </w:pPr>
      <w:r w:rsidRPr="00DC6C48">
        <w:rPr>
          <w:rFonts w:eastAsia="Times New Roman" w:cs="Arial"/>
        </w:rPr>
        <w:t>The BHM program is a proud academic partner with "</w:t>
      </w:r>
      <w:proofErr w:type="spellStart"/>
      <w:r w:rsidRPr="00DC6C48">
        <w:rPr>
          <w:rFonts w:eastAsia="Times New Roman" w:cs="Arial"/>
        </w:rPr>
        <w:t>IDeaS</w:t>
      </w:r>
      <w:proofErr w:type="spellEnd"/>
      <w:r w:rsidRPr="00DC6C48">
        <w:rPr>
          <w:rFonts w:eastAsia="Times New Roman" w:cs="Arial"/>
        </w:rPr>
        <w:t xml:space="preserve"> Hospitality Revenue Management Solutions", one of the leading revenue management companies in North America.</w:t>
      </w:r>
    </w:p>
    <w:p w:rsidR="00C24088" w:rsidRDefault="00B92898" w:rsidP="004E53E4">
      <w:pPr>
        <w:pStyle w:val="ListParagraph"/>
        <w:numPr>
          <w:ilvl w:val="0"/>
          <w:numId w:val="6"/>
        </w:numPr>
        <w:spacing w:line="240" w:lineRule="auto"/>
      </w:pPr>
      <w:r>
        <w:t>All full time F</w:t>
      </w:r>
      <w:r w:rsidR="00C24088" w:rsidRPr="00E26DB1">
        <w:t>aculty in the pr</w:t>
      </w:r>
      <w:r w:rsidR="008D7D5D">
        <w:t xml:space="preserve">ogram have Masters Credentials, along with industry experience. </w:t>
      </w:r>
    </w:p>
    <w:p w:rsidR="00756880" w:rsidRDefault="00FF0B09" w:rsidP="00756880">
      <w:pPr>
        <w:pStyle w:val="ListParagraph"/>
        <w:numPr>
          <w:ilvl w:val="0"/>
          <w:numId w:val="6"/>
        </w:numPr>
        <w:spacing w:line="240" w:lineRule="auto"/>
      </w:pPr>
      <w:r>
        <w:t>There is strengthening Internatio</w:t>
      </w:r>
      <w:r w:rsidR="008D7D5D">
        <w:t>nal activity in the program.  S</w:t>
      </w:r>
      <w:r>
        <w:t xml:space="preserve">tudents have attended field schools in Hawaii; </w:t>
      </w:r>
      <w:r w:rsidR="001645C5">
        <w:t xml:space="preserve">and </w:t>
      </w:r>
      <w:r>
        <w:t xml:space="preserve">spent a semester </w:t>
      </w:r>
      <w:r w:rsidR="00306647">
        <w:t xml:space="preserve">studying </w:t>
      </w:r>
      <w:r>
        <w:t>at the University of</w:t>
      </w:r>
      <w:r w:rsidR="001645C5">
        <w:t xml:space="preserve"> Colima in Mexico.  Current Hospitality students </w:t>
      </w:r>
      <w:r>
        <w:t xml:space="preserve">are considering study abroad options for the academic year 2012 – 2013. </w:t>
      </w:r>
    </w:p>
    <w:p w:rsidR="00C24088" w:rsidRPr="00756880" w:rsidRDefault="00C24088" w:rsidP="00756880">
      <w:pPr>
        <w:pStyle w:val="ListParagraph"/>
        <w:spacing w:line="240" w:lineRule="auto"/>
        <w:ind w:left="1440"/>
      </w:pPr>
      <w:r w:rsidRPr="00756880">
        <w:rPr>
          <w:b/>
          <w:i/>
        </w:rPr>
        <w:t>Institutional Priorities</w:t>
      </w:r>
    </w:p>
    <w:p w:rsidR="00FF0B09" w:rsidRDefault="00C24088" w:rsidP="004E53E4">
      <w:pPr>
        <w:pStyle w:val="ListParagraph"/>
        <w:numPr>
          <w:ilvl w:val="0"/>
          <w:numId w:val="7"/>
        </w:numPr>
        <w:spacing w:line="240" w:lineRule="auto"/>
      </w:pPr>
      <w:r w:rsidRPr="00E26DB1">
        <w:t>The program promotes student leadership opportunities and enhanced in experiential learning in classroom activities</w:t>
      </w:r>
      <w:r w:rsidR="002C24D1">
        <w:t xml:space="preserve">, assignments and community engagement. </w:t>
      </w:r>
    </w:p>
    <w:p w:rsidR="002C24D1" w:rsidRDefault="002C24D1" w:rsidP="004E53E4">
      <w:pPr>
        <w:pStyle w:val="ListParagraph"/>
        <w:numPr>
          <w:ilvl w:val="0"/>
          <w:numId w:val="7"/>
        </w:numPr>
        <w:spacing w:line="240" w:lineRule="auto"/>
      </w:pPr>
      <w:r>
        <w:t xml:space="preserve">Annually, </w:t>
      </w:r>
      <w:r w:rsidR="00FF0B09">
        <w:t xml:space="preserve">Degree students have </w:t>
      </w:r>
      <w:r>
        <w:t xml:space="preserve">been recognized and rewarded at the </w:t>
      </w:r>
      <w:r w:rsidR="001779D5">
        <w:t>BC</w:t>
      </w:r>
      <w:r w:rsidR="00FF0B09">
        <w:t xml:space="preserve"> Hospitality Conference</w:t>
      </w:r>
      <w:r>
        <w:t xml:space="preserve">. </w:t>
      </w:r>
      <w:r w:rsidR="00FF0B09">
        <w:t xml:space="preserve"> </w:t>
      </w:r>
    </w:p>
    <w:p w:rsidR="00C24088" w:rsidRPr="00E26DB1" w:rsidRDefault="001779D5" w:rsidP="004E53E4">
      <w:pPr>
        <w:pStyle w:val="ListParagraph"/>
        <w:numPr>
          <w:ilvl w:val="0"/>
          <w:numId w:val="7"/>
        </w:numPr>
        <w:spacing w:line="240" w:lineRule="auto"/>
      </w:pPr>
      <w:r>
        <w:t>The Hospitality Department is c</w:t>
      </w:r>
      <w:r w:rsidR="00C24088" w:rsidRPr="00E26DB1">
        <w:t>ommitted to ongoing development and assessment through a scheduled program review scheduled in 2012 -2013.</w:t>
      </w:r>
    </w:p>
    <w:p w:rsidR="002C24D1" w:rsidRDefault="002C24D1" w:rsidP="004E53E4">
      <w:pPr>
        <w:pStyle w:val="ListParagraph"/>
        <w:numPr>
          <w:ilvl w:val="0"/>
          <w:numId w:val="7"/>
        </w:numPr>
        <w:spacing w:line="240" w:lineRule="auto"/>
      </w:pPr>
      <w:r>
        <w:t xml:space="preserve">An </w:t>
      </w:r>
      <w:r w:rsidR="00C24088" w:rsidRPr="00E26DB1">
        <w:t xml:space="preserve">internationalized program through its student diversity, classroom activities and </w:t>
      </w:r>
      <w:r w:rsidR="00641FBB" w:rsidRPr="00E26DB1">
        <w:t xml:space="preserve">learning </w:t>
      </w:r>
      <w:r w:rsidR="00641FBB">
        <w:t>promotes</w:t>
      </w:r>
      <w:r>
        <w:t xml:space="preserve"> global awareness of cultures and issues.   </w:t>
      </w:r>
    </w:p>
    <w:p w:rsidR="00EF211C" w:rsidRDefault="002C24D1" w:rsidP="00C24088">
      <w:pPr>
        <w:pStyle w:val="ListParagraph"/>
        <w:numPr>
          <w:ilvl w:val="0"/>
          <w:numId w:val="7"/>
        </w:numPr>
      </w:pPr>
      <w:r>
        <w:t>For t</w:t>
      </w:r>
      <w:r w:rsidR="001779D5">
        <w:t xml:space="preserve">he BHM graduate </w:t>
      </w:r>
      <w:r>
        <w:t xml:space="preserve">there are significant opportunities in the local </w:t>
      </w:r>
      <w:proofErr w:type="spellStart"/>
      <w:r>
        <w:t>labour</w:t>
      </w:r>
      <w:proofErr w:type="spellEnd"/>
      <w:r>
        <w:t xml:space="preserve"> market.</w:t>
      </w:r>
      <w:r w:rsidR="001779D5">
        <w:t xml:space="preserve">  According to BC Stats report in May 2005, </w:t>
      </w:r>
      <w:r w:rsidR="00B92898">
        <w:t>it</w:t>
      </w:r>
      <w:r w:rsidR="00EF211C">
        <w:t xml:space="preserve"> is anticipated betwee</w:t>
      </w:r>
      <w:r w:rsidR="001779D5">
        <w:t xml:space="preserve">n 2001 and 2031, there will be </w:t>
      </w:r>
      <w:r w:rsidR="00EF211C">
        <w:t xml:space="preserve">an additional 9,000 </w:t>
      </w:r>
      <w:r w:rsidR="001779D5">
        <w:t xml:space="preserve">regional </w:t>
      </w:r>
      <w:r w:rsidR="00EF211C">
        <w:t>employment opportuniti</w:t>
      </w:r>
      <w:r w:rsidR="00107AB1">
        <w:t>es in the Hospitality Industry.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288"/>
        <w:gridCol w:w="2880"/>
        <w:gridCol w:w="2430"/>
        <w:gridCol w:w="1247"/>
        <w:gridCol w:w="1247"/>
        <w:gridCol w:w="1248"/>
        <w:gridCol w:w="236"/>
      </w:tblGrid>
      <w:tr w:rsidR="000D1F00" w:rsidRPr="00E26DB1" w:rsidTr="00932EDF">
        <w:trPr>
          <w:trHeight w:val="108"/>
        </w:trPr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noProof/>
                <w:color w:val="FFFFFF" w:themeColor="background1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  <w:tr w:rsidR="000D1F00" w:rsidRPr="00E26DB1" w:rsidTr="00932EDF">
        <w:trPr>
          <w:trHeight w:val="360"/>
        </w:trPr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E26DB1" w:rsidRDefault="000D1F00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Dean’s Recommendation</w:t>
            </w: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E26DB1" w:rsidRDefault="008E58C9" w:rsidP="00E55840">
            <w:pPr>
              <w:rPr>
                <w:color w:val="FFFFFF" w:themeColor="background1"/>
              </w:rPr>
            </w:pPr>
            <w:r w:rsidRPr="008E58C9">
              <w:rPr>
                <w:noProof/>
                <w:color w:val="FFFFFF" w:themeColor="background1"/>
              </w:rPr>
            </w:r>
            <w:r>
              <w:rPr>
                <w:noProof/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192.25pt;height: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N+IwIAAEY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">
                  <v:textbox>
                    <w:txbxContent>
                      <w:p w:rsidR="00880B35" w:rsidRDefault="00880B35" w:rsidP="00932EDF">
                        <w:r>
                          <w:t>Enhance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  <w:tr w:rsidR="000D1F00" w:rsidRPr="00E26DB1" w:rsidTr="000D1F00">
        <w:trPr>
          <w:trHeight w:val="180"/>
        </w:trPr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noProof/>
                <w:color w:val="FFFFFF" w:themeColor="background1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  <w:tr w:rsidR="00462722" w:rsidRPr="00E26DB1" w:rsidTr="00462722">
        <w:trPr>
          <w:trHeight w:val="2862"/>
        </w:trPr>
        <w:tc>
          <w:tcPr>
            <w:tcW w:w="288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9052" w:type="dxa"/>
            <w:gridSpan w:val="5"/>
            <w:shd w:val="clear" w:color="auto" w:fill="auto"/>
          </w:tcPr>
          <w:p w:rsidR="00462722" w:rsidRDefault="004E53E4" w:rsidP="004E53E4">
            <w:r>
              <w:t xml:space="preserve">Continue to enhance the program by active engagement in the program review process, continue building the pan Canadian articulation network. </w:t>
            </w:r>
            <w:r w:rsidR="00AF5E8B">
              <w:t xml:space="preserve"> We have enough temporary faculty workload </w:t>
            </w:r>
            <w:r w:rsidR="00BC177F">
              <w:t xml:space="preserve">and recommend it </w:t>
            </w:r>
            <w:r w:rsidR="00AF5E8B">
              <w:t>be converted to a regular full-time position in 2014/2015.</w:t>
            </w:r>
          </w:p>
          <w:p w:rsidR="002D73AC" w:rsidRDefault="002D73AC" w:rsidP="004E53E4"/>
          <w:p w:rsidR="002D73AC" w:rsidRPr="00E26DB1" w:rsidRDefault="002D73AC" w:rsidP="004E53E4">
            <w:r>
              <w:t>See attached rationale for faculty increase.</w:t>
            </w:r>
            <w:r w:rsidR="00107AB1">
              <w:t xml:space="preserve">  (</w:t>
            </w:r>
            <w:r w:rsidR="00107AB1" w:rsidRPr="00107AB1">
              <w:rPr>
                <w:i/>
              </w:rPr>
              <w:t>Appendix A</w:t>
            </w:r>
            <w:r w:rsidR="00107AB1">
              <w:t>)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</w:tr>
      <w:tr w:rsidR="000D1F00" w:rsidRPr="00E26DB1" w:rsidTr="00462722"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  <w:tr w:rsidR="00462722" w:rsidRPr="00E26DB1" w:rsidTr="00462722">
        <w:tc>
          <w:tcPr>
            <w:tcW w:w="288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2013-14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2014-15</w:t>
            </w:r>
          </w:p>
        </w:tc>
        <w:tc>
          <w:tcPr>
            <w:tcW w:w="124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2015-16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</w:p>
        </w:tc>
      </w:tr>
      <w:tr w:rsidR="000D1F00" w:rsidRPr="00E26DB1" w:rsidTr="00462722"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  <w:tr w:rsidR="00462722" w:rsidRPr="00E26DB1" w:rsidTr="00462722">
        <w:tc>
          <w:tcPr>
            <w:tcW w:w="288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FTE Targets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E26DB1" w:rsidRDefault="002D73AC" w:rsidP="00462722">
            <w:pPr>
              <w:jc w:val="right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E26DB1" w:rsidRDefault="002D73AC" w:rsidP="00462722">
            <w:pPr>
              <w:jc w:val="right"/>
            </w:pPr>
            <w: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E26DB1" w:rsidRDefault="002D73AC" w:rsidP="00462722">
            <w:pPr>
              <w:jc w:val="right"/>
            </w:pPr>
            <w: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</w:tr>
      <w:tr w:rsidR="00462722" w:rsidRPr="00E26DB1" w:rsidTr="00462722">
        <w:tc>
          <w:tcPr>
            <w:tcW w:w="288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E26DB1" w:rsidRDefault="00462722" w:rsidP="00E55840">
            <w:pPr>
              <w:rPr>
                <w:color w:val="FFFFFF" w:themeColor="background1"/>
              </w:rPr>
            </w:pPr>
          </w:p>
        </w:tc>
      </w:tr>
      <w:tr w:rsidR="000D1F00" w:rsidRPr="00E26DB1" w:rsidTr="00462722">
        <w:tc>
          <w:tcPr>
            <w:tcW w:w="288" w:type="dxa"/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D1F00" w:rsidRPr="00E26DB1" w:rsidRDefault="00462722" w:rsidP="00E55840">
            <w:pPr>
              <w:rPr>
                <w:b/>
                <w:i/>
                <w:color w:val="FFFFFF" w:themeColor="background1"/>
              </w:rPr>
            </w:pPr>
            <w:r w:rsidRPr="00E26DB1">
              <w:rPr>
                <w:b/>
                <w:i/>
                <w:color w:val="FFFFFF" w:themeColor="background1"/>
              </w:rPr>
              <w:t>Estimated Budget Increases or (Decreases)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E26DB1" w:rsidRDefault="000D1F00" w:rsidP="00462722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E26DB1" w:rsidRDefault="00803C64" w:rsidP="00462722">
            <w:pPr>
              <w:jc w:val="right"/>
            </w:pPr>
            <w:r>
              <w:t>$104,000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E26DB1" w:rsidRDefault="000D1F00" w:rsidP="00462722">
            <w:pPr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D1F00" w:rsidRPr="00E26DB1" w:rsidRDefault="000D1F00" w:rsidP="00E55840">
            <w:pPr>
              <w:rPr>
                <w:color w:val="FFFFFF" w:themeColor="background1"/>
              </w:rPr>
            </w:pPr>
          </w:p>
        </w:tc>
      </w:tr>
    </w:tbl>
    <w:p w:rsidR="00107AB1" w:rsidRDefault="00107AB1">
      <w:r>
        <w:br w:type="page"/>
      </w:r>
    </w:p>
    <w:p w:rsidR="00ED316D" w:rsidRDefault="00ED316D" w:rsidP="00ED316D">
      <w:pPr>
        <w:jc w:val="right"/>
        <w:rPr>
          <w:b/>
          <w:i/>
        </w:rPr>
      </w:pPr>
    </w:p>
    <w:p w:rsidR="00107AB1" w:rsidRPr="00941723" w:rsidRDefault="00107AB1" w:rsidP="00107AB1">
      <w:pPr>
        <w:rPr>
          <w:b/>
          <w:i/>
        </w:rPr>
      </w:pPr>
      <w:r w:rsidRPr="00941723">
        <w:rPr>
          <w:b/>
          <w:i/>
        </w:rPr>
        <w:t>Hospitality Management Faculty Workload Analysis 2012 – 2012 Aca</w:t>
      </w:r>
      <w:r w:rsidR="00A25FC4">
        <w:rPr>
          <w:b/>
          <w:i/>
        </w:rPr>
        <w:t>demic Year</w:t>
      </w:r>
    </w:p>
    <w:p w:rsidR="00107AB1" w:rsidRPr="007A7DB9" w:rsidRDefault="00107AB1" w:rsidP="00107AB1">
      <w:pPr>
        <w:rPr>
          <w:u w:val="single"/>
        </w:rPr>
      </w:pPr>
      <w:r>
        <w:rPr>
          <w:u w:val="single"/>
        </w:rPr>
        <w:t>Sections of Hospitality w</w:t>
      </w:r>
      <w:r w:rsidR="00A25FC4">
        <w:rPr>
          <w:u w:val="single"/>
        </w:rPr>
        <w:t>ork:</w:t>
      </w:r>
    </w:p>
    <w:p w:rsidR="00107AB1" w:rsidRDefault="00A25FC4" w:rsidP="00A25FC4">
      <w:pPr>
        <w:tabs>
          <w:tab w:val="right" w:pos="4320"/>
        </w:tabs>
      </w:pPr>
      <w:r>
        <w:t>Teaching:</w:t>
      </w:r>
      <w:r w:rsidR="00107AB1">
        <w:tab/>
      </w:r>
      <w:r>
        <w:t>30</w:t>
      </w:r>
    </w:p>
    <w:p w:rsidR="00107AB1" w:rsidRDefault="00A25FC4" w:rsidP="00A25FC4">
      <w:pPr>
        <w:tabs>
          <w:tab w:val="right" w:pos="4320"/>
        </w:tabs>
      </w:pPr>
      <w:r>
        <w:t>Upper Level Releases:</w:t>
      </w:r>
      <w:r w:rsidR="00107AB1">
        <w:tab/>
        <w:t>3</w:t>
      </w:r>
    </w:p>
    <w:p w:rsidR="00107AB1" w:rsidRDefault="00A25FC4" w:rsidP="00A25FC4">
      <w:pPr>
        <w:tabs>
          <w:tab w:val="right" w:pos="4320"/>
        </w:tabs>
        <w:rPr>
          <w:u w:val="single"/>
        </w:rPr>
      </w:pPr>
      <w:r>
        <w:rPr>
          <w:u w:val="single"/>
        </w:rPr>
        <w:t>Chair/Advising Releases:</w:t>
      </w:r>
      <w:r>
        <w:rPr>
          <w:u w:val="single"/>
        </w:rPr>
        <w:tab/>
        <w:t>2</w:t>
      </w:r>
    </w:p>
    <w:p w:rsidR="00107AB1" w:rsidRDefault="00107AB1" w:rsidP="00A25FC4">
      <w:pPr>
        <w:tabs>
          <w:tab w:val="right" w:pos="4320"/>
        </w:tabs>
      </w:pPr>
      <w:r>
        <w:t xml:space="preserve">Total </w:t>
      </w:r>
      <w:r>
        <w:tab/>
        <w:t>35</w:t>
      </w:r>
    </w:p>
    <w:p w:rsidR="00107AB1" w:rsidRPr="00A25FC4" w:rsidRDefault="00A25FC4" w:rsidP="00A25FC4">
      <w:pPr>
        <w:tabs>
          <w:tab w:val="right" w:pos="4320"/>
        </w:tabs>
      </w:pPr>
      <w:r w:rsidRPr="00A25FC4">
        <w:t>LESS</w:t>
      </w:r>
      <w:r w:rsidR="00107AB1" w:rsidRPr="00A25FC4">
        <w:t xml:space="preserve"> cou</w:t>
      </w:r>
      <w:r>
        <w:t>rses not taught each year</w:t>
      </w:r>
      <w:r>
        <w:tab/>
      </w:r>
      <w:r w:rsidR="00107AB1" w:rsidRPr="00A25FC4">
        <w:t>2</w:t>
      </w:r>
    </w:p>
    <w:p w:rsidR="00107AB1" w:rsidRDefault="00A25FC4" w:rsidP="00A25FC4">
      <w:pPr>
        <w:tabs>
          <w:tab w:val="right" w:pos="4320"/>
        </w:tabs>
      </w:pPr>
      <w:r>
        <w:t>TOTAL</w:t>
      </w:r>
      <w:r w:rsidR="00107AB1">
        <w:t xml:space="preserve"> avail</w:t>
      </w:r>
      <w:r>
        <w:t>able work</w:t>
      </w:r>
      <w:r>
        <w:tab/>
        <w:t>33</w:t>
      </w:r>
    </w:p>
    <w:p w:rsidR="00107AB1" w:rsidRDefault="00107AB1" w:rsidP="00107AB1"/>
    <w:p w:rsidR="00107AB1" w:rsidRDefault="00107AB1" w:rsidP="00107AB1">
      <w:pPr>
        <w:rPr>
          <w:u w:val="single"/>
        </w:rPr>
      </w:pPr>
      <w:r w:rsidRPr="007A7DB9">
        <w:rPr>
          <w:u w:val="single"/>
        </w:rPr>
        <w:t>How the work is distributed:</w:t>
      </w:r>
    </w:p>
    <w:p w:rsidR="00107AB1" w:rsidRDefault="00107AB1" w:rsidP="00107AB1">
      <w:r>
        <w:t>Core Faculty</w:t>
      </w:r>
    </w:p>
    <w:p w:rsidR="00107AB1" w:rsidRDefault="00107AB1" w:rsidP="00107AB1">
      <w:pPr>
        <w:numPr>
          <w:ilvl w:val="0"/>
          <w:numId w:val="11"/>
        </w:numPr>
        <w:spacing w:after="0" w:line="240" w:lineRule="auto"/>
      </w:pPr>
      <w:r>
        <w:t>Burr:      4 hosp + 1 upper level + 2chair (plus one Tour section)</w:t>
      </w:r>
    </w:p>
    <w:p w:rsidR="00107AB1" w:rsidRDefault="00107AB1" w:rsidP="00107AB1">
      <w:pPr>
        <w:numPr>
          <w:ilvl w:val="0"/>
          <w:numId w:val="11"/>
        </w:numPr>
        <w:spacing w:after="0" w:line="240" w:lineRule="auto"/>
      </w:pPr>
      <w:r>
        <w:t>Hassib:   6 hosp + 1 upper level               (</w:t>
      </w:r>
      <w:r w:rsidR="00A25FC4">
        <w:t>plus one Culinary Arts section)</w:t>
      </w:r>
    </w:p>
    <w:p w:rsidR="00107AB1" w:rsidRDefault="00107AB1" w:rsidP="00107AB1">
      <w:pPr>
        <w:numPr>
          <w:ilvl w:val="0"/>
          <w:numId w:val="11"/>
        </w:numPr>
        <w:spacing w:after="0" w:line="240" w:lineRule="auto"/>
      </w:pPr>
      <w:r>
        <w:t>Briscoe:  6 hosp + 1 upper level               (plus one Mgmt section)</w:t>
      </w:r>
    </w:p>
    <w:p w:rsidR="00107AB1" w:rsidRDefault="00107AB1" w:rsidP="00107AB1"/>
    <w:p w:rsidR="00107AB1" w:rsidRDefault="00A25FC4" w:rsidP="00107AB1">
      <w:r>
        <w:t>Non-</w:t>
      </w:r>
      <w:r w:rsidR="00107AB1">
        <w:t xml:space="preserve">Core Faculty work: </w:t>
      </w:r>
    </w:p>
    <w:p w:rsidR="00107AB1" w:rsidRDefault="00A25FC4" w:rsidP="00A25FC4">
      <w:pPr>
        <w:numPr>
          <w:ilvl w:val="0"/>
          <w:numId w:val="11"/>
        </w:numPr>
        <w:tabs>
          <w:tab w:val="right" w:pos="4320"/>
        </w:tabs>
        <w:spacing w:after="0" w:line="240" w:lineRule="auto"/>
      </w:pPr>
      <w:r>
        <w:t>Temporary Faculty</w:t>
      </w:r>
      <w:r w:rsidR="00107AB1">
        <w:t>:</w:t>
      </w:r>
      <w:r>
        <w:tab/>
        <w:t>9 sections</w:t>
      </w:r>
    </w:p>
    <w:p w:rsidR="00107AB1" w:rsidRPr="00941723" w:rsidRDefault="00A25FC4" w:rsidP="00A25FC4">
      <w:pPr>
        <w:numPr>
          <w:ilvl w:val="0"/>
          <w:numId w:val="11"/>
        </w:numPr>
        <w:tabs>
          <w:tab w:val="right" w:pos="4320"/>
        </w:tabs>
        <w:spacing w:after="0" w:line="240" w:lineRule="auto"/>
        <w:rPr>
          <w:u w:val="single"/>
        </w:rPr>
      </w:pPr>
      <w:r>
        <w:rPr>
          <w:u w:val="single"/>
        </w:rPr>
        <w:t>Rec/Tour Faculty:</w:t>
      </w:r>
      <w:r>
        <w:rPr>
          <w:u w:val="single"/>
        </w:rPr>
        <w:tab/>
      </w:r>
      <w:r w:rsidR="00107AB1" w:rsidRPr="00941723">
        <w:rPr>
          <w:u w:val="single"/>
        </w:rPr>
        <w:t>3 sections</w:t>
      </w:r>
    </w:p>
    <w:p w:rsidR="00107AB1" w:rsidRDefault="00107AB1" w:rsidP="00A25FC4">
      <w:pPr>
        <w:tabs>
          <w:tab w:val="right" w:pos="4320"/>
        </w:tabs>
        <w:ind w:left="720"/>
      </w:pPr>
      <w:r>
        <w:t>Total availa</w:t>
      </w:r>
      <w:r w:rsidR="00A25FC4">
        <w:t>ble</w:t>
      </w:r>
      <w:r w:rsidR="00A25FC4">
        <w:tab/>
      </w:r>
      <w:r>
        <w:t>12 sections</w:t>
      </w:r>
    </w:p>
    <w:p w:rsidR="00107AB1" w:rsidRDefault="00107AB1" w:rsidP="00107AB1">
      <w:pPr>
        <w:pBdr>
          <w:bottom w:val="single" w:sz="6" w:space="1" w:color="auto"/>
        </w:pBdr>
      </w:pPr>
    </w:p>
    <w:p w:rsidR="00107AB1" w:rsidRDefault="00107AB1" w:rsidP="00107AB1">
      <w:pPr>
        <w:rPr>
          <w:u w:val="single"/>
        </w:rPr>
      </w:pPr>
      <w:r w:rsidRPr="007A7DB9">
        <w:rPr>
          <w:u w:val="single"/>
        </w:rPr>
        <w:t xml:space="preserve">Type of </w:t>
      </w:r>
      <w:r w:rsidR="00A25FC4">
        <w:rPr>
          <w:u w:val="single"/>
        </w:rPr>
        <w:t xml:space="preserve">Temporary Faculty </w:t>
      </w:r>
      <w:r>
        <w:rPr>
          <w:u w:val="single"/>
        </w:rPr>
        <w:t xml:space="preserve">Expertise </w:t>
      </w:r>
      <w:r w:rsidR="00A25FC4">
        <w:rPr>
          <w:u w:val="single"/>
        </w:rPr>
        <w:t>Required</w:t>
      </w:r>
      <w:r w:rsidRPr="007A7DB9">
        <w:rPr>
          <w:u w:val="single"/>
        </w:rPr>
        <w:t>:</w:t>
      </w:r>
    </w:p>
    <w:p w:rsidR="00107AB1" w:rsidRPr="007A7DB9" w:rsidRDefault="00107AB1" w:rsidP="00107AB1">
      <w:pPr>
        <w:numPr>
          <w:ilvl w:val="0"/>
          <w:numId w:val="12"/>
        </w:numPr>
        <w:spacing w:after="0" w:line="240" w:lineRule="auto"/>
        <w:rPr>
          <w:u w:val="single"/>
        </w:rPr>
      </w:pPr>
      <w:r>
        <w:t>Food &amp; Beverage: Dining Room, Culi</w:t>
      </w:r>
      <w:r w:rsidR="00A25FC4">
        <w:t xml:space="preserve">nary Skills &amp; </w:t>
      </w:r>
      <w:proofErr w:type="spellStart"/>
      <w:r w:rsidR="00A25FC4">
        <w:t>Vistro</w:t>
      </w:r>
      <w:proofErr w:type="spellEnd"/>
      <w:r w:rsidR="00A25FC4">
        <w:t xml:space="preserve">          </w:t>
      </w:r>
      <w:r>
        <w:t>5 sections</w:t>
      </w:r>
    </w:p>
    <w:p w:rsidR="00107AB1" w:rsidRPr="00941723" w:rsidRDefault="00107AB1" w:rsidP="00107AB1">
      <w:pPr>
        <w:numPr>
          <w:ilvl w:val="0"/>
          <w:numId w:val="12"/>
        </w:numPr>
        <w:spacing w:after="0" w:line="240" w:lineRule="auto"/>
        <w:rPr>
          <w:u w:val="single"/>
        </w:rPr>
      </w:pPr>
      <w:r>
        <w:t xml:space="preserve">Mgmt/ Marketing : Industry overview, Leadership, </w:t>
      </w:r>
    </w:p>
    <w:p w:rsidR="00107AB1" w:rsidRPr="00941723" w:rsidRDefault="00107AB1" w:rsidP="00107AB1">
      <w:pPr>
        <w:ind w:left="720"/>
        <w:rPr>
          <w:u w:val="single"/>
        </w:rPr>
      </w:pPr>
      <w:r>
        <w:t xml:space="preserve">Property Mgmt Systems, Consumer </w:t>
      </w:r>
      <w:proofErr w:type="spellStart"/>
      <w:r>
        <w:t>Behaviour</w:t>
      </w:r>
      <w:proofErr w:type="spellEnd"/>
      <w:r>
        <w:t xml:space="preserve"> </w:t>
      </w:r>
      <w:r>
        <w:tab/>
      </w:r>
      <w:r>
        <w:tab/>
        <w:t xml:space="preserve">       </w:t>
      </w:r>
      <w:r w:rsidR="00A25FC4">
        <w:t>5 sections</w:t>
      </w:r>
    </w:p>
    <w:p w:rsidR="00107AB1" w:rsidRPr="00941723" w:rsidRDefault="00107AB1" w:rsidP="00107AB1">
      <w:pPr>
        <w:numPr>
          <w:ilvl w:val="0"/>
          <w:numId w:val="12"/>
        </w:numPr>
        <w:spacing w:after="0" w:line="240" w:lineRule="auto"/>
        <w:rPr>
          <w:u w:val="single"/>
        </w:rPr>
      </w:pPr>
      <w:r w:rsidRPr="00941723">
        <w:rPr>
          <w:u w:val="single"/>
        </w:rPr>
        <w:t>Research:</w:t>
      </w:r>
      <w:r w:rsidR="00A25FC4">
        <w:rPr>
          <w:u w:val="single"/>
        </w:rPr>
        <w:t xml:space="preserve"> </w:t>
      </w:r>
      <w:r w:rsidRPr="00941723">
        <w:rPr>
          <w:u w:val="single"/>
        </w:rPr>
        <w:t xml:space="preserve"> Stats, Applied Research Methods </w:t>
      </w:r>
      <w:r w:rsidRPr="00941723">
        <w:rPr>
          <w:u w:val="single"/>
        </w:rPr>
        <w:tab/>
      </w:r>
      <w:r w:rsidRPr="00941723">
        <w:rPr>
          <w:u w:val="single"/>
        </w:rPr>
        <w:tab/>
        <w:t xml:space="preserve">       2 sections</w:t>
      </w:r>
    </w:p>
    <w:p w:rsidR="00462722" w:rsidRPr="00E26DB1" w:rsidRDefault="00107AB1" w:rsidP="00107AB1">
      <w:r>
        <w:t xml:space="preserve"> </w:t>
      </w:r>
      <w:r>
        <w:tab/>
      </w:r>
      <w:r>
        <w:tab/>
        <w:t xml:space="preserve">Total work delivered by non-core  </w:t>
      </w:r>
      <w:r w:rsidR="00A25FC4">
        <w:t xml:space="preserve">                               </w:t>
      </w:r>
      <w:r>
        <w:t>12 sections</w:t>
      </w:r>
    </w:p>
    <w:sectPr w:rsidR="00462722" w:rsidRPr="00E26DB1" w:rsidSect="00E55840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37" w:rsidRDefault="003C6F37" w:rsidP="00FF0B09">
      <w:pPr>
        <w:spacing w:after="0" w:line="240" w:lineRule="auto"/>
      </w:pPr>
      <w:r>
        <w:separator/>
      </w:r>
    </w:p>
  </w:endnote>
  <w:endnote w:type="continuationSeparator" w:id="0">
    <w:p w:rsidR="003C6F37" w:rsidRDefault="003C6F37" w:rsidP="00FF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37" w:rsidRDefault="003C6F37" w:rsidP="00FF0B09">
      <w:pPr>
        <w:spacing w:after="0" w:line="240" w:lineRule="auto"/>
      </w:pPr>
      <w:r>
        <w:separator/>
      </w:r>
    </w:p>
  </w:footnote>
  <w:footnote w:type="continuationSeparator" w:id="0">
    <w:p w:rsidR="003C6F37" w:rsidRDefault="003C6F37" w:rsidP="00FF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35" w:rsidRDefault="00880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BE"/>
    <w:multiLevelType w:val="hybridMultilevel"/>
    <w:tmpl w:val="B222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A620E"/>
    <w:multiLevelType w:val="hybridMultilevel"/>
    <w:tmpl w:val="E1DC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25036"/>
    <w:multiLevelType w:val="hybridMultilevel"/>
    <w:tmpl w:val="28BE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15E72"/>
    <w:multiLevelType w:val="hybridMultilevel"/>
    <w:tmpl w:val="0AA8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16010"/>
    <w:multiLevelType w:val="hybridMultilevel"/>
    <w:tmpl w:val="45427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54074"/>
    <w:multiLevelType w:val="hybridMultilevel"/>
    <w:tmpl w:val="B674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11C62"/>
    <w:multiLevelType w:val="hybridMultilevel"/>
    <w:tmpl w:val="13502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74012"/>
    <w:multiLevelType w:val="hybridMultilevel"/>
    <w:tmpl w:val="2416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C6F8D"/>
    <w:multiLevelType w:val="hybridMultilevel"/>
    <w:tmpl w:val="1584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64097"/>
    <w:multiLevelType w:val="hybridMultilevel"/>
    <w:tmpl w:val="30742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0222BF"/>
    <w:multiLevelType w:val="hybridMultilevel"/>
    <w:tmpl w:val="821A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66F97"/>
    <w:multiLevelType w:val="hybridMultilevel"/>
    <w:tmpl w:val="71DA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5840"/>
    <w:rsid w:val="00015D54"/>
    <w:rsid w:val="000956B2"/>
    <w:rsid w:val="00097DEE"/>
    <w:rsid w:val="000B413E"/>
    <w:rsid w:val="000B438D"/>
    <w:rsid w:val="000D1F00"/>
    <w:rsid w:val="000E277E"/>
    <w:rsid w:val="000F7DF0"/>
    <w:rsid w:val="00107AB1"/>
    <w:rsid w:val="001645C5"/>
    <w:rsid w:val="001779D5"/>
    <w:rsid w:val="001A65ED"/>
    <w:rsid w:val="00247FF9"/>
    <w:rsid w:val="00265DA5"/>
    <w:rsid w:val="00297462"/>
    <w:rsid w:val="002C24D1"/>
    <w:rsid w:val="002D73AC"/>
    <w:rsid w:val="00306223"/>
    <w:rsid w:val="00306647"/>
    <w:rsid w:val="00311D1C"/>
    <w:rsid w:val="0032634C"/>
    <w:rsid w:val="003C674F"/>
    <w:rsid w:val="003C6F37"/>
    <w:rsid w:val="003D4596"/>
    <w:rsid w:val="003D73F6"/>
    <w:rsid w:val="00451586"/>
    <w:rsid w:val="00462722"/>
    <w:rsid w:val="00487126"/>
    <w:rsid w:val="004D574B"/>
    <w:rsid w:val="004E53E4"/>
    <w:rsid w:val="00523615"/>
    <w:rsid w:val="00540A2C"/>
    <w:rsid w:val="00592280"/>
    <w:rsid w:val="00592F49"/>
    <w:rsid w:val="0062218E"/>
    <w:rsid w:val="00641FBB"/>
    <w:rsid w:val="00674D6F"/>
    <w:rsid w:val="0071356D"/>
    <w:rsid w:val="00727B6F"/>
    <w:rsid w:val="00756880"/>
    <w:rsid w:val="00761600"/>
    <w:rsid w:val="007F02C3"/>
    <w:rsid w:val="00803C64"/>
    <w:rsid w:val="00841D42"/>
    <w:rsid w:val="00850B15"/>
    <w:rsid w:val="00880B35"/>
    <w:rsid w:val="00884EB0"/>
    <w:rsid w:val="008A13A1"/>
    <w:rsid w:val="008D7D5D"/>
    <w:rsid w:val="008E58C9"/>
    <w:rsid w:val="008E78D3"/>
    <w:rsid w:val="00906C8D"/>
    <w:rsid w:val="00932EDF"/>
    <w:rsid w:val="00950B2C"/>
    <w:rsid w:val="009640EA"/>
    <w:rsid w:val="009C3891"/>
    <w:rsid w:val="009D1B1E"/>
    <w:rsid w:val="009D2501"/>
    <w:rsid w:val="00A25FC4"/>
    <w:rsid w:val="00A920AF"/>
    <w:rsid w:val="00AC298E"/>
    <w:rsid w:val="00AE1B36"/>
    <w:rsid w:val="00AF5E8B"/>
    <w:rsid w:val="00B53FD9"/>
    <w:rsid w:val="00B92898"/>
    <w:rsid w:val="00BA434B"/>
    <w:rsid w:val="00BC177F"/>
    <w:rsid w:val="00BD0C64"/>
    <w:rsid w:val="00BD3C4B"/>
    <w:rsid w:val="00BE3159"/>
    <w:rsid w:val="00BE6887"/>
    <w:rsid w:val="00C24088"/>
    <w:rsid w:val="00C53A51"/>
    <w:rsid w:val="00C95407"/>
    <w:rsid w:val="00CB1F92"/>
    <w:rsid w:val="00CE6C8C"/>
    <w:rsid w:val="00D42047"/>
    <w:rsid w:val="00D467BC"/>
    <w:rsid w:val="00D75CE6"/>
    <w:rsid w:val="00D8173B"/>
    <w:rsid w:val="00DB7294"/>
    <w:rsid w:val="00DC6C48"/>
    <w:rsid w:val="00DF6EF3"/>
    <w:rsid w:val="00DF6F5F"/>
    <w:rsid w:val="00E23B7D"/>
    <w:rsid w:val="00E26DB1"/>
    <w:rsid w:val="00E55840"/>
    <w:rsid w:val="00EB087D"/>
    <w:rsid w:val="00EB7EE0"/>
    <w:rsid w:val="00EC71C4"/>
    <w:rsid w:val="00ED316D"/>
    <w:rsid w:val="00EF211C"/>
    <w:rsid w:val="00F376CB"/>
    <w:rsid w:val="00F54FA4"/>
    <w:rsid w:val="00FE5BA9"/>
    <w:rsid w:val="00FF0B09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  <w:style w:type="paragraph" w:styleId="ListParagraph">
    <w:name w:val="List Paragraph"/>
    <w:basedOn w:val="Normal"/>
    <w:uiPriority w:val="34"/>
    <w:qFormat/>
    <w:rsid w:val="00015D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5DA5"/>
  </w:style>
  <w:style w:type="paragraph" w:styleId="Header">
    <w:name w:val="header"/>
    <w:basedOn w:val="Normal"/>
    <w:link w:val="HeaderChar"/>
    <w:uiPriority w:val="99"/>
    <w:semiHidden/>
    <w:unhideWhenUsed/>
    <w:rsid w:val="00FF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09"/>
  </w:style>
  <w:style w:type="paragraph" w:styleId="Footer">
    <w:name w:val="footer"/>
    <w:basedOn w:val="Normal"/>
    <w:link w:val="FooterChar"/>
    <w:uiPriority w:val="99"/>
    <w:semiHidden/>
    <w:unhideWhenUsed/>
    <w:rsid w:val="00FF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957E1-61CF-4AAF-B16C-629293E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Deutscher</dc:creator>
  <cp:keywords/>
  <dc:description/>
  <cp:lastModifiedBy>griffel</cp:lastModifiedBy>
  <cp:revision>2</cp:revision>
  <cp:lastPrinted>2012-05-30T16:26:00Z</cp:lastPrinted>
  <dcterms:created xsi:type="dcterms:W3CDTF">2012-06-28T22:33:00Z</dcterms:created>
  <dcterms:modified xsi:type="dcterms:W3CDTF">2012-06-28T22:33:00Z</dcterms:modified>
</cp:coreProperties>
</file>