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5040"/>
        <w:gridCol w:w="4428"/>
      </w:tblGrid>
      <w:tr w:rsidR="00E55840" w:rsidRPr="00E55840" w:rsidTr="00E55840">
        <w:tc>
          <w:tcPr>
            <w:tcW w:w="5040" w:type="dxa"/>
            <w:shd w:val="clear" w:color="auto" w:fill="365F91" w:themeFill="accent1" w:themeFillShade="BF"/>
          </w:tcPr>
          <w:p w:rsidR="00E55840" w:rsidRPr="00E55840" w:rsidRDefault="00E5584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55840">
              <w:rPr>
                <w:b/>
                <w:color w:val="FFFFFF" w:themeColor="background1"/>
                <w:sz w:val="24"/>
                <w:szCs w:val="24"/>
              </w:rPr>
              <w:t>Vancouver Island University</w:t>
            </w:r>
          </w:p>
        </w:tc>
        <w:tc>
          <w:tcPr>
            <w:tcW w:w="4428" w:type="dxa"/>
            <w:shd w:val="clear" w:color="auto" w:fill="365F91" w:themeFill="accent1" w:themeFillShade="BF"/>
          </w:tcPr>
          <w:p w:rsidR="00E55840" w:rsidRPr="00E55840" w:rsidRDefault="00E55840" w:rsidP="00DB0BF7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Faculty</w:t>
            </w:r>
            <w:r w:rsidR="00DB0BF7">
              <w:rPr>
                <w:b/>
                <w:color w:val="FFFFFF" w:themeColor="background1"/>
                <w:sz w:val="24"/>
                <w:szCs w:val="24"/>
              </w:rPr>
              <w:t xml:space="preserve"> of Management</w:t>
            </w:r>
          </w:p>
        </w:tc>
      </w:tr>
      <w:tr w:rsidR="00E55840" w:rsidRPr="00E55840" w:rsidTr="00E55840">
        <w:tc>
          <w:tcPr>
            <w:tcW w:w="5040" w:type="dxa"/>
            <w:shd w:val="clear" w:color="auto" w:fill="365F91" w:themeFill="accent1" w:themeFillShade="BF"/>
          </w:tcPr>
          <w:p w:rsidR="00E55840" w:rsidRPr="00E55840" w:rsidRDefault="00E55840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Summative Program Assessment Template 2012</w:t>
            </w:r>
          </w:p>
        </w:tc>
        <w:tc>
          <w:tcPr>
            <w:tcW w:w="4428" w:type="dxa"/>
            <w:shd w:val="clear" w:color="auto" w:fill="365F91" w:themeFill="accent1" w:themeFillShade="BF"/>
          </w:tcPr>
          <w:p w:rsidR="00E55840" w:rsidRPr="00E55840" w:rsidRDefault="00E55840" w:rsidP="000949CC">
            <w:pPr>
              <w:jc w:val="right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E55840" w:rsidRPr="000D3169" w:rsidTr="00E55840">
        <w:tc>
          <w:tcPr>
            <w:tcW w:w="9468" w:type="dxa"/>
            <w:gridSpan w:val="2"/>
            <w:shd w:val="clear" w:color="auto" w:fill="365F91" w:themeFill="accent1" w:themeFillShade="BF"/>
            <w:vAlign w:val="center"/>
          </w:tcPr>
          <w:p w:rsidR="00E55840" w:rsidRPr="000D3169" w:rsidRDefault="00E55840" w:rsidP="000949CC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24"/>
                <w:szCs w:val="24"/>
              </w:rPr>
            </w:pPr>
            <w:r w:rsidRPr="000D3169">
              <w:rPr>
                <w:color w:val="FFFFFF" w:themeColor="background1"/>
                <w:sz w:val="24"/>
                <w:szCs w:val="24"/>
              </w:rPr>
              <w:t xml:space="preserve">Program: </w:t>
            </w:r>
            <w:r w:rsidR="000949CC">
              <w:rPr>
                <w:color w:val="FFFFFF" w:themeColor="background1"/>
                <w:sz w:val="24"/>
                <w:szCs w:val="24"/>
              </w:rPr>
              <w:t xml:space="preserve"> Bachelor of Business Administration</w:t>
            </w:r>
            <w:r w:rsidR="008669CD">
              <w:rPr>
                <w:color w:val="FFFFFF" w:themeColor="background1"/>
                <w:sz w:val="24"/>
                <w:szCs w:val="24"/>
              </w:rPr>
              <w:t xml:space="preserve"> (BBA)</w:t>
            </w:r>
            <w:r w:rsidR="00EB3587">
              <w:rPr>
                <w:color w:val="FFFFFF" w:themeColor="background1"/>
                <w:sz w:val="24"/>
                <w:szCs w:val="24"/>
              </w:rPr>
              <w:t xml:space="preserve"> including core components </w:t>
            </w:r>
            <w:r w:rsidR="00EB3587" w:rsidRPr="000D3169">
              <w:rPr>
                <w:color w:val="FFFFFF" w:themeColor="background1"/>
                <w:sz w:val="24"/>
                <w:szCs w:val="24"/>
              </w:rPr>
              <w:t>Certificate of Business Management  and Diploma in Business Management</w:t>
            </w:r>
          </w:p>
        </w:tc>
      </w:tr>
    </w:tbl>
    <w:p w:rsidR="00F376CB" w:rsidRPr="00E55840" w:rsidRDefault="00E55840" w:rsidP="0071356D">
      <w:pPr>
        <w:spacing w:before="120"/>
        <w:rPr>
          <w:b/>
          <w:i/>
          <w:sz w:val="24"/>
          <w:szCs w:val="24"/>
        </w:rPr>
      </w:pPr>
      <w:bookmarkStart w:id="0" w:name="_GoBack"/>
      <w:bookmarkEnd w:id="0"/>
      <w:r w:rsidRPr="00E55840">
        <w:rPr>
          <w:b/>
          <w:i/>
          <w:sz w:val="24"/>
          <w:szCs w:val="24"/>
        </w:rPr>
        <w:t>Context</w:t>
      </w:r>
    </w:p>
    <w:p w:rsidR="00D756B8" w:rsidRPr="008D1D13" w:rsidRDefault="00D756B8" w:rsidP="008669CD">
      <w:pPr>
        <w:pStyle w:val="ListParagraph"/>
        <w:numPr>
          <w:ilvl w:val="0"/>
          <w:numId w:val="1"/>
        </w:numPr>
      </w:pPr>
      <w:r>
        <w:t>The purpose of the BBA program is to provide</w:t>
      </w:r>
      <w:r w:rsidR="0033513F">
        <w:t xml:space="preserve"> relevant</w:t>
      </w:r>
      <w:r>
        <w:t xml:space="preserve"> business and management programs to</w:t>
      </w:r>
      <w:r w:rsidR="0033513F">
        <w:t xml:space="preserve"> aspiring students; the specific feature of our program is </w:t>
      </w:r>
      <w:r w:rsidR="008D1D13">
        <w:t xml:space="preserve">multiple exit and entry points </w:t>
      </w:r>
      <w:r w:rsidR="0033513F" w:rsidRPr="008D1D13">
        <w:t>to m</w:t>
      </w:r>
      <w:r w:rsidR="008D1D13">
        <w:t xml:space="preserve">eet the diversity of domestic, </w:t>
      </w:r>
      <w:r w:rsidR="0033513F" w:rsidRPr="008D1D13">
        <w:t>international and community market demands.</w:t>
      </w:r>
    </w:p>
    <w:p w:rsidR="008669CD" w:rsidRDefault="008669CD" w:rsidP="008669CD">
      <w:pPr>
        <w:pStyle w:val="ListParagraph"/>
        <w:numPr>
          <w:ilvl w:val="0"/>
          <w:numId w:val="1"/>
        </w:numPr>
      </w:pPr>
      <w:r>
        <w:t>The BBA consists of seven concentrations:  Accounting, Economics, Finance, Human Resource Management, International Business, Management and Marketing.  We will be seeking approval to change these concentrations to majors for the next academic year.</w:t>
      </w:r>
    </w:p>
    <w:p w:rsidR="00D756B8" w:rsidRDefault="008669CD" w:rsidP="008669CD">
      <w:pPr>
        <w:pStyle w:val="ListParagraph"/>
        <w:numPr>
          <w:ilvl w:val="0"/>
          <w:numId w:val="1"/>
        </w:numPr>
      </w:pPr>
      <w:r>
        <w:t xml:space="preserve">The BBA was established in 2004 </w:t>
      </w:r>
      <w:r w:rsidR="000F56C9">
        <w:t xml:space="preserve">and was </w:t>
      </w:r>
      <w:r>
        <w:t>previously called the B.A., Major/Minor in Business.  It has grow</w:t>
      </w:r>
      <w:r w:rsidR="00D756B8">
        <w:t>n consistent</w:t>
      </w:r>
      <w:r w:rsidR="00AA598C">
        <w:t>ly:  637.3 FTEs in 2008 (</w:t>
      </w:r>
      <w:r w:rsidR="00D756B8">
        <w:t>6.9829% of VIU’s total</w:t>
      </w:r>
      <w:r w:rsidR="00AA598C">
        <w:t>) to 763.8 FTEs in 2010 (9.1766% of VIU’s total)</w:t>
      </w:r>
      <w:r w:rsidR="00D756B8">
        <w:t>.</w:t>
      </w:r>
    </w:p>
    <w:p w:rsidR="000F56C9" w:rsidRDefault="000F56C9" w:rsidP="008669CD">
      <w:pPr>
        <w:pStyle w:val="ListParagraph"/>
        <w:numPr>
          <w:ilvl w:val="0"/>
          <w:numId w:val="1"/>
        </w:numPr>
      </w:pPr>
      <w:r>
        <w:t xml:space="preserve">The </w:t>
      </w:r>
      <w:r w:rsidR="0064019F">
        <w:t>number</w:t>
      </w:r>
      <w:r>
        <w:t xml:space="preserve"> of international students:</w:t>
      </w:r>
    </w:p>
    <w:p w:rsidR="000F56C9" w:rsidRDefault="000F56C9" w:rsidP="00855472">
      <w:pPr>
        <w:pStyle w:val="ListParagraph"/>
      </w:pPr>
      <w:r>
        <w:t xml:space="preserve">2008, international FTEs </w:t>
      </w:r>
      <w:r w:rsidR="00F1397E">
        <w:t xml:space="preserve">178.1 </w:t>
      </w:r>
    </w:p>
    <w:p w:rsidR="00AC1BCE" w:rsidRDefault="00002BF4" w:rsidP="00855472">
      <w:pPr>
        <w:pStyle w:val="ListParagraph"/>
      </w:pPr>
      <w:r>
        <w:t xml:space="preserve">2009, </w:t>
      </w:r>
      <w:r w:rsidR="00F1397E">
        <w:t xml:space="preserve">international FTEs 196.5 </w:t>
      </w:r>
    </w:p>
    <w:p w:rsidR="000F56C9" w:rsidRDefault="000F56C9" w:rsidP="00855472">
      <w:pPr>
        <w:pStyle w:val="ListParagraph"/>
      </w:pPr>
      <w:r>
        <w:t xml:space="preserve">2010, international FTEs </w:t>
      </w:r>
      <w:r w:rsidR="00F1397E">
        <w:t xml:space="preserve">256.8 </w:t>
      </w:r>
    </w:p>
    <w:p w:rsidR="000F56C9" w:rsidRDefault="000F56C9" w:rsidP="000F56C9">
      <w:pPr>
        <w:pStyle w:val="ListParagraph"/>
        <w:numPr>
          <w:ilvl w:val="0"/>
          <w:numId w:val="2"/>
        </w:numPr>
      </w:pPr>
      <w:r>
        <w:t>The program provides both academic and applied learning through internship opportunities, field schools, and exchanges.</w:t>
      </w:r>
    </w:p>
    <w:p w:rsidR="00002BF4" w:rsidRDefault="000F56C9" w:rsidP="00E72A46">
      <w:pPr>
        <w:pStyle w:val="ListParagraph"/>
        <w:numPr>
          <w:ilvl w:val="0"/>
          <w:numId w:val="1"/>
        </w:numPr>
      </w:pPr>
      <w:r>
        <w:t>Various entry and exit points from the program—entry:  domestic high school graduates, transfer students from two year educational institutions, aboriginal students (eligible for the Ch’nook Scholars program), international partnership institutions, individuals pursuing professional advancement thr</w:t>
      </w:r>
      <w:r w:rsidR="00002BF4">
        <w:t>ough enhanced academic studies</w:t>
      </w:r>
    </w:p>
    <w:p w:rsidR="00E72A46" w:rsidRDefault="00F1397E" w:rsidP="00E72A46">
      <w:pPr>
        <w:pStyle w:val="ListParagraph"/>
        <w:numPr>
          <w:ilvl w:val="0"/>
          <w:numId w:val="1"/>
        </w:numPr>
      </w:pPr>
      <w:r>
        <w:t>C</w:t>
      </w:r>
      <w:r w:rsidR="00850C34">
        <w:t>oncurrent external credentials available (Professional Finance Advisor, CHRP, WSET)</w:t>
      </w:r>
      <w:r w:rsidR="006C73F2">
        <w:t xml:space="preserve"> and the BBA is a pre-requisite for professional accounting designations (CA, CGA and CMA).</w:t>
      </w:r>
    </w:p>
    <w:p w:rsidR="00E72A46" w:rsidRDefault="00E72A46" w:rsidP="00E72A46">
      <w:pPr>
        <w:pStyle w:val="ListParagraph"/>
        <w:numPr>
          <w:ilvl w:val="0"/>
          <w:numId w:val="1"/>
        </w:numPr>
      </w:pPr>
      <w:r w:rsidRPr="00AA598C">
        <w:t xml:space="preserve">Accreditation </w:t>
      </w:r>
      <w:r>
        <w:t>in 2009 for all Business Programs through</w:t>
      </w:r>
      <w:r w:rsidRPr="00AA598C">
        <w:t xml:space="preserve"> the Accreditation Council for Business Schools and Programs </w:t>
      </w:r>
      <w:r>
        <w:t xml:space="preserve">(ACBSP) </w:t>
      </w:r>
      <w:r w:rsidRPr="00AA598C">
        <w:t>with standards modeled on the Baldrige National Quality Program</w:t>
      </w:r>
      <w:r>
        <w:t>.</w:t>
      </w:r>
    </w:p>
    <w:p w:rsidR="000F56C9" w:rsidRDefault="000F56C9" w:rsidP="00E72A46">
      <w:pPr>
        <w:pStyle w:val="ListParagraph"/>
        <w:ind w:left="360"/>
      </w:pPr>
    </w:p>
    <w:p w:rsidR="00E55840" w:rsidRPr="00E55840" w:rsidRDefault="00E55840" w:rsidP="00E558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Relevance</w:t>
      </w:r>
    </w:p>
    <w:p w:rsidR="00002BF4" w:rsidRDefault="000F5295" w:rsidP="00002BF4">
      <w:pPr>
        <w:pStyle w:val="ListParagraph"/>
        <w:numPr>
          <w:ilvl w:val="0"/>
          <w:numId w:val="2"/>
        </w:numPr>
      </w:pPr>
      <w:r>
        <w:t>FTE e</w:t>
      </w:r>
      <w:r w:rsidR="00002BF4">
        <w:t xml:space="preserve">nrolment grew </w:t>
      </w:r>
      <w:r>
        <w:t>19.849</w:t>
      </w:r>
      <w:r w:rsidR="00002BF4">
        <w:t>% between 200</w:t>
      </w:r>
      <w:r>
        <w:t>8</w:t>
      </w:r>
      <w:r w:rsidR="00002BF4">
        <w:t xml:space="preserve"> and 2010 and </w:t>
      </w:r>
      <w:r w:rsidR="0058539F">
        <w:t>there is</w:t>
      </w:r>
      <w:r w:rsidR="00002BF4">
        <w:t xml:space="preserve"> good reach beyond our local geographical area.</w:t>
      </w:r>
    </w:p>
    <w:p w:rsidR="00002BF4" w:rsidRDefault="00AA598C" w:rsidP="008F2B8A">
      <w:pPr>
        <w:pStyle w:val="ListParagraph"/>
        <w:numPr>
          <w:ilvl w:val="0"/>
          <w:numId w:val="2"/>
        </w:numPr>
      </w:pPr>
      <w:r>
        <w:t xml:space="preserve">The BBA is performing at and surpassing the </w:t>
      </w:r>
      <w:r w:rsidR="00DC4001">
        <w:t xml:space="preserve">enrollment </w:t>
      </w:r>
      <w:r>
        <w:t xml:space="preserve">benchmarks that were set for the program.  </w:t>
      </w:r>
      <w:r w:rsidR="00002BF4">
        <w:t xml:space="preserve">The BBA increased enrollment </w:t>
      </w:r>
      <w:r>
        <w:t xml:space="preserve">while other programs have </w:t>
      </w:r>
      <w:r w:rsidR="00002BF4">
        <w:t>experienced</w:t>
      </w:r>
      <w:r>
        <w:t xml:space="preserve"> </w:t>
      </w:r>
      <w:r w:rsidR="0058539F">
        <w:t xml:space="preserve">a </w:t>
      </w:r>
      <w:r>
        <w:t>declin</w:t>
      </w:r>
      <w:r w:rsidR="0058539F">
        <w:t>e in</w:t>
      </w:r>
      <w:r>
        <w:t xml:space="preserve"> enrollment</w:t>
      </w:r>
      <w:r w:rsidR="00002BF4">
        <w:t>.  W</w:t>
      </w:r>
      <w:r>
        <w:t xml:space="preserve">e still have </w:t>
      </w:r>
      <w:r w:rsidR="00F1397E">
        <w:t xml:space="preserve">the potential for more growth </w:t>
      </w:r>
      <w:r w:rsidR="0058539F">
        <w:t>both domestically and internationally</w:t>
      </w:r>
      <w:r w:rsidR="008F2B8A">
        <w:t>.</w:t>
      </w:r>
    </w:p>
    <w:p w:rsidR="008F2B8A" w:rsidRDefault="00DC4001" w:rsidP="008F2B8A">
      <w:pPr>
        <w:pStyle w:val="ListParagraph"/>
        <w:numPr>
          <w:ilvl w:val="0"/>
          <w:numId w:val="2"/>
        </w:numPr>
      </w:pPr>
      <w:r>
        <w:t xml:space="preserve">For </w:t>
      </w:r>
      <w:proofErr w:type="gramStart"/>
      <w:r>
        <w:t>Fall</w:t>
      </w:r>
      <w:proofErr w:type="gramEnd"/>
      <w:r>
        <w:t>, 2012 we have applications for 500 students (200 accepted to date) plus an estimated 150 students to be enrolled in PD</w:t>
      </w:r>
      <w:r w:rsidR="006B110D">
        <w:t>DB and international students.</w:t>
      </w:r>
    </w:p>
    <w:p w:rsidR="00D0070A" w:rsidRDefault="00D0070A" w:rsidP="00D0070A">
      <w:pPr>
        <w:pStyle w:val="ListParagraph"/>
        <w:numPr>
          <w:ilvl w:val="0"/>
          <w:numId w:val="2"/>
        </w:numPr>
      </w:pPr>
      <w:r>
        <w:t>Market demand for program graduates—95% are employed two years after graduation (BC Student Outcomes, BGS).</w:t>
      </w:r>
    </w:p>
    <w:p w:rsidR="008F2B8A" w:rsidRDefault="008F2B8A" w:rsidP="008F2B8A">
      <w:pPr>
        <w:pStyle w:val="ListParagraph"/>
        <w:numPr>
          <w:ilvl w:val="0"/>
          <w:numId w:val="2"/>
        </w:numPr>
      </w:pPr>
      <w:r>
        <w:t xml:space="preserve">Accounting education is becoming more relevant to the business community as international standards and potential for </w:t>
      </w:r>
      <w:r w:rsidR="00BC524F">
        <w:t>international mergers increases; affiliation to the CA, CGA and CMA.</w:t>
      </w:r>
    </w:p>
    <w:p w:rsidR="008F2B8A" w:rsidRPr="0084467D" w:rsidRDefault="00BC524F" w:rsidP="008F2B8A">
      <w:pPr>
        <w:pStyle w:val="ListParagraph"/>
        <w:numPr>
          <w:ilvl w:val="0"/>
          <w:numId w:val="2"/>
        </w:numPr>
      </w:pPr>
      <w:r>
        <w:lastRenderedPageBreak/>
        <w:t xml:space="preserve">External designations available for students to complete during the BBA program include </w:t>
      </w:r>
      <w:r w:rsidR="0084467D" w:rsidRPr="00855472">
        <w:t>Certified Human Resources Professional (CHRP).  In addition, Finance and Management have various certificates available for students to complete during the BBA program</w:t>
      </w:r>
      <w:r w:rsidR="00BB77F6">
        <w:t xml:space="preserve"> (Canadian Institute of Financial Planning; Canadian Investment Funds Institute o</w:t>
      </w:r>
      <w:r w:rsidR="00EB3587">
        <w:t xml:space="preserve">f Canada </w:t>
      </w:r>
      <w:proofErr w:type="spellStart"/>
      <w:r w:rsidR="00EB3587">
        <w:t>ertificate</w:t>
      </w:r>
      <w:proofErr w:type="spellEnd"/>
      <w:r w:rsidR="00EB3587">
        <w:t>; Canadian I</w:t>
      </w:r>
      <w:r w:rsidR="00BB77F6">
        <w:t>nsurance Life License Qualification Program Certificate of Completion</w:t>
      </w:r>
      <w:r w:rsidR="0084467D" w:rsidRPr="00855472">
        <w:t>.  These</w:t>
      </w:r>
      <w:r w:rsidR="00BB77F6">
        <w:t xml:space="preserve"> certificates assist students to</w:t>
      </w:r>
      <w:r w:rsidR="0084467D" w:rsidRPr="00855472">
        <w:t xml:space="preserve"> be more closely aligned to current business needs.</w:t>
      </w:r>
    </w:p>
    <w:p w:rsidR="0084467D" w:rsidRPr="0084467D" w:rsidRDefault="0084467D" w:rsidP="008F2B8A">
      <w:pPr>
        <w:pStyle w:val="ListParagraph"/>
        <w:numPr>
          <w:ilvl w:val="0"/>
          <w:numId w:val="2"/>
        </w:numPr>
      </w:pPr>
      <w:r>
        <w:rPr>
          <w:rFonts w:ascii="Trebuchet MS" w:hAnsi="Trebuchet MS"/>
          <w:sz w:val="21"/>
          <w:szCs w:val="21"/>
        </w:rPr>
        <w:t xml:space="preserve">ACBSP accreditation </w:t>
      </w:r>
      <w:r w:rsidR="00BC524F">
        <w:rPr>
          <w:rFonts w:ascii="Trebuchet MS" w:hAnsi="Trebuchet MS"/>
          <w:sz w:val="21"/>
          <w:szCs w:val="21"/>
        </w:rPr>
        <w:t>enhances</w:t>
      </w:r>
      <w:r>
        <w:rPr>
          <w:rFonts w:ascii="Trebuchet MS" w:hAnsi="Trebuchet MS"/>
          <w:sz w:val="21"/>
          <w:szCs w:val="21"/>
        </w:rPr>
        <w:t xml:space="preserve"> enrollment (especially international student</w:t>
      </w:r>
      <w:r w:rsidR="00BC524F">
        <w:rPr>
          <w:rFonts w:ascii="Trebuchet MS" w:hAnsi="Trebuchet MS"/>
          <w:sz w:val="21"/>
          <w:szCs w:val="21"/>
        </w:rPr>
        <w:t xml:space="preserve"> enrollments</w:t>
      </w:r>
      <w:r>
        <w:rPr>
          <w:rFonts w:ascii="Trebuchet MS" w:hAnsi="Trebuchet MS"/>
          <w:sz w:val="21"/>
          <w:szCs w:val="21"/>
        </w:rPr>
        <w:t>).</w:t>
      </w:r>
    </w:p>
    <w:p w:rsidR="00E55840" w:rsidRPr="00E55840" w:rsidRDefault="00E55840" w:rsidP="00E558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Access</w:t>
      </w:r>
    </w:p>
    <w:p w:rsidR="003352DD" w:rsidRDefault="003352DD" w:rsidP="003352DD">
      <w:pPr>
        <w:pStyle w:val="ListParagraph"/>
        <w:numPr>
          <w:ilvl w:val="0"/>
          <w:numId w:val="3"/>
        </w:numPr>
      </w:pPr>
      <w:r>
        <w:t>Positive increase for international and domestic and all target groups.</w:t>
      </w:r>
    </w:p>
    <w:p w:rsidR="003352DD" w:rsidRDefault="00A15BA9" w:rsidP="003352DD">
      <w:pPr>
        <w:pStyle w:val="ListParagraph"/>
        <w:numPr>
          <w:ilvl w:val="0"/>
          <w:numId w:val="3"/>
        </w:numPr>
      </w:pPr>
      <w:r>
        <w:t>Met the institutional mission; goal to increase aboriginal</w:t>
      </w:r>
      <w:r w:rsidR="00BB77F6">
        <w:t xml:space="preserve"> students</w:t>
      </w:r>
      <w:r>
        <w:t>.</w:t>
      </w:r>
    </w:p>
    <w:p w:rsidR="0058539F" w:rsidRDefault="0058539F" w:rsidP="003352DD">
      <w:pPr>
        <w:pStyle w:val="ListParagraph"/>
        <w:numPr>
          <w:ilvl w:val="0"/>
          <w:numId w:val="3"/>
        </w:numPr>
      </w:pPr>
      <w:r>
        <w:t>Aboriginal students; the Faculty of Management actively promotes and supports the Ch’nook Scholar Program and VIU had the largest number of Ch’nook scholars in BC.  VIU has been selected as a Ch’nook Re</w:t>
      </w:r>
      <w:r w:rsidR="00B15F62">
        <w:t>gional</w:t>
      </w:r>
      <w:r>
        <w:t xml:space="preserve"> Centre.</w:t>
      </w:r>
    </w:p>
    <w:p w:rsidR="003352DD" w:rsidRDefault="00BB77F6" w:rsidP="003352DD">
      <w:pPr>
        <w:pStyle w:val="ListParagraph"/>
        <w:numPr>
          <w:ilvl w:val="0"/>
          <w:numId w:val="3"/>
        </w:numPr>
      </w:pPr>
      <w:r>
        <w:t xml:space="preserve">Increasing </w:t>
      </w:r>
      <w:r w:rsidR="003352DD">
        <w:t>the opportunity to offer courses in Cowichan.</w:t>
      </w:r>
    </w:p>
    <w:p w:rsidR="00090FF6" w:rsidRDefault="003352DD" w:rsidP="003352DD">
      <w:pPr>
        <w:pStyle w:val="ListParagraph"/>
        <w:numPr>
          <w:ilvl w:val="0"/>
          <w:numId w:val="3"/>
        </w:numPr>
      </w:pPr>
      <w:r>
        <w:t>Enrolment by gender</w:t>
      </w:r>
      <w:r w:rsidR="00090FF6">
        <w:t xml:space="preserve"> has a </w:t>
      </w:r>
      <w:r w:rsidR="00B63D7D">
        <w:t xml:space="preserve">fairly </w:t>
      </w:r>
      <w:r w:rsidR="00090FF6">
        <w:t>balanced distribution:  2008 48.179% female and 51.82% male; 2009 46.033% female and 53.967% male; and 2010 45.161% female and 54.839% male.</w:t>
      </w:r>
    </w:p>
    <w:p w:rsidR="0033513F" w:rsidRDefault="0033513F" w:rsidP="003352DD">
      <w:pPr>
        <w:pStyle w:val="ListParagraph"/>
        <w:numPr>
          <w:ilvl w:val="0"/>
          <w:numId w:val="3"/>
        </w:numPr>
      </w:pPr>
      <w:r>
        <w:t xml:space="preserve">Flexibility of entry, exit and transfer-in points </w:t>
      </w:r>
      <w:proofErr w:type="gramStart"/>
      <w:r>
        <w:t>are</w:t>
      </w:r>
      <w:proofErr w:type="gramEnd"/>
      <w:r>
        <w:t xml:space="preserve"> positive assets.  Integral to the BBA program are certifications (core program elements) that ladder into it including PDDB, C</w:t>
      </w:r>
      <w:r w:rsidR="00EB3587">
        <w:t xml:space="preserve">ertificate in </w:t>
      </w:r>
      <w:r>
        <w:t>B</w:t>
      </w:r>
      <w:r w:rsidR="00EB3587">
        <w:t xml:space="preserve">usiness </w:t>
      </w:r>
      <w:r>
        <w:t>M</w:t>
      </w:r>
      <w:r w:rsidR="00EB3587">
        <w:t>anagement</w:t>
      </w:r>
      <w:r>
        <w:t xml:space="preserve"> and Diploma in Business Management.</w:t>
      </w:r>
    </w:p>
    <w:p w:rsidR="006B110D" w:rsidRDefault="006B110D" w:rsidP="003352DD">
      <w:pPr>
        <w:pStyle w:val="ListParagraph"/>
        <w:numPr>
          <w:ilvl w:val="0"/>
          <w:numId w:val="3"/>
        </w:numPr>
      </w:pPr>
      <w:r>
        <w:t>Additional faculty, enhanced facilities and student housing (on- and off-campus) would support increased enrolment.</w:t>
      </w:r>
    </w:p>
    <w:p w:rsidR="00E55840" w:rsidRPr="00E55840" w:rsidRDefault="00E55840" w:rsidP="00E558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Financial Performance</w:t>
      </w:r>
    </w:p>
    <w:p w:rsidR="003352DD" w:rsidRDefault="003352DD" w:rsidP="00B63D7D">
      <w:pPr>
        <w:pStyle w:val="ListParagraph"/>
        <w:numPr>
          <w:ilvl w:val="0"/>
          <w:numId w:val="4"/>
        </w:numPr>
      </w:pPr>
      <w:r>
        <w:t>The BBA is the lowest cost program within VIU a</w:t>
      </w:r>
      <w:r w:rsidR="00B63D7D">
        <w:t>nd the highest revenue generating potential</w:t>
      </w:r>
      <w:r>
        <w:t xml:space="preserve"> per FTE with a utilization rate of 92</w:t>
      </w:r>
      <w:r w:rsidR="00B63D7D">
        <w:t>.5</w:t>
      </w:r>
      <w:r>
        <w:t>%.</w:t>
      </w:r>
    </w:p>
    <w:p w:rsidR="00E55840" w:rsidRPr="00E55840" w:rsidRDefault="00E55840" w:rsidP="00E558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Quality</w:t>
      </w:r>
    </w:p>
    <w:p w:rsidR="00342033" w:rsidRPr="00342033" w:rsidRDefault="00342033" w:rsidP="003352DD">
      <w:pPr>
        <w:pStyle w:val="ListParagraph"/>
        <w:numPr>
          <w:ilvl w:val="0"/>
          <w:numId w:val="5"/>
        </w:numPr>
        <w:rPr>
          <w:b/>
          <w:i/>
        </w:rPr>
      </w:pPr>
      <w:r>
        <w:t>Accredited</w:t>
      </w:r>
      <w:r w:rsidR="003352DD" w:rsidRPr="00AA598C">
        <w:t xml:space="preserve"> by the Accreditation Council for Business Schools and Programs </w:t>
      </w:r>
      <w:r>
        <w:t>(ACBSP).</w:t>
      </w:r>
    </w:p>
    <w:p w:rsidR="003352DD" w:rsidRPr="00342033" w:rsidRDefault="003352DD" w:rsidP="003352DD">
      <w:pPr>
        <w:pStyle w:val="ListParagraph"/>
        <w:numPr>
          <w:ilvl w:val="0"/>
          <w:numId w:val="5"/>
        </w:numPr>
        <w:rPr>
          <w:b/>
          <w:i/>
        </w:rPr>
      </w:pPr>
      <w:r>
        <w:t>Student outcomes data documents four factors which have increased in assessment</w:t>
      </w:r>
      <w:r w:rsidR="0058539F">
        <w:t xml:space="preserve"> and shown improvement</w:t>
      </w:r>
      <w:r>
        <w:t>.</w:t>
      </w:r>
      <w:r w:rsidR="00D0070A">
        <w:t xml:space="preserve"> </w:t>
      </w:r>
    </w:p>
    <w:p w:rsidR="003352DD" w:rsidRDefault="00A15BA9" w:rsidP="003352DD">
      <w:pPr>
        <w:pStyle w:val="ListParagraph"/>
        <w:numPr>
          <w:ilvl w:val="0"/>
          <w:numId w:val="5"/>
        </w:numPr>
      </w:pPr>
      <w:r>
        <w:t xml:space="preserve">In 2011/2012, </w:t>
      </w:r>
      <w:r w:rsidR="00D0070A">
        <w:t xml:space="preserve">two </w:t>
      </w:r>
      <w:r>
        <w:t>f</w:t>
      </w:r>
      <w:r w:rsidR="003352DD">
        <w:t xml:space="preserve">aculty </w:t>
      </w:r>
      <w:r>
        <w:t xml:space="preserve">members </w:t>
      </w:r>
      <w:r w:rsidR="003352DD">
        <w:t>have successfully completed credentials in Certified Management Accounting (CMA)</w:t>
      </w:r>
      <w:r w:rsidR="00803E5E">
        <w:t>, one MBA, two PhDs and o</w:t>
      </w:r>
      <w:r>
        <w:t>ne CHRP designation (</w:t>
      </w:r>
      <w:r w:rsidR="00803E5E">
        <w:t>award</w:t>
      </w:r>
      <w:r w:rsidR="00731DEC">
        <w:t xml:space="preserve"> received</w:t>
      </w:r>
      <w:r w:rsidR="00803E5E">
        <w:t xml:space="preserve"> for the highest mark on Vancouver Island</w:t>
      </w:r>
      <w:r>
        <w:t>)</w:t>
      </w:r>
      <w:r w:rsidR="00803E5E">
        <w:t>.</w:t>
      </w:r>
      <w:r w:rsidR="00D0070A">
        <w:t xml:space="preserve">  As well, two others are applying for PhD programs.</w:t>
      </w:r>
    </w:p>
    <w:p w:rsidR="003352DD" w:rsidRDefault="003352DD" w:rsidP="003352DD">
      <w:pPr>
        <w:pStyle w:val="ListParagraph"/>
        <w:numPr>
          <w:ilvl w:val="0"/>
          <w:numId w:val="5"/>
        </w:numPr>
      </w:pPr>
      <w:r>
        <w:t xml:space="preserve">Bloomberg leading edge financial investing software will be offered </w:t>
      </w:r>
      <w:r w:rsidR="00A15BA9">
        <w:t xml:space="preserve">in 2012/2013 </w:t>
      </w:r>
      <w:r>
        <w:t>to students, faculty and the business community.</w:t>
      </w:r>
    </w:p>
    <w:p w:rsidR="00342033" w:rsidRDefault="00803E5E" w:rsidP="003352DD">
      <w:pPr>
        <w:pStyle w:val="ListParagraph"/>
        <w:numPr>
          <w:ilvl w:val="0"/>
          <w:numId w:val="5"/>
        </w:numPr>
      </w:pPr>
      <w:r>
        <w:t xml:space="preserve">The </w:t>
      </w:r>
      <w:r w:rsidR="00342033">
        <w:t>program continues to access peer</w:t>
      </w:r>
      <w:r>
        <w:t xml:space="preserve"> tutors</w:t>
      </w:r>
      <w:r w:rsidR="00342033">
        <w:t xml:space="preserve"> for Finance, Accounting and Economics</w:t>
      </w:r>
    </w:p>
    <w:p w:rsidR="00342033" w:rsidRDefault="00342033" w:rsidP="003352DD">
      <w:pPr>
        <w:pStyle w:val="ListParagraph"/>
        <w:numPr>
          <w:ilvl w:val="0"/>
          <w:numId w:val="5"/>
        </w:numPr>
      </w:pPr>
      <w:r>
        <w:t xml:space="preserve">The School of Business supports a </w:t>
      </w:r>
      <w:r w:rsidR="00803E5E">
        <w:t xml:space="preserve"> fi</w:t>
      </w:r>
      <w:r>
        <w:t>rst year experience coordinator</w:t>
      </w:r>
    </w:p>
    <w:p w:rsidR="003352DD" w:rsidRDefault="00342033" w:rsidP="003352DD">
      <w:pPr>
        <w:pStyle w:val="ListParagraph"/>
        <w:numPr>
          <w:ilvl w:val="0"/>
          <w:numId w:val="5"/>
        </w:numPr>
      </w:pPr>
      <w:r>
        <w:t>The School of Business</w:t>
      </w:r>
      <w:r w:rsidR="00803E5E">
        <w:t xml:space="preserve"> support</w:t>
      </w:r>
      <w:r>
        <w:t>s</w:t>
      </w:r>
      <w:r w:rsidR="00803E5E">
        <w:t xml:space="preserve"> student initiatives (</w:t>
      </w:r>
      <w:r w:rsidR="00EB73AD">
        <w:t xml:space="preserve">the Business Student Association and the </w:t>
      </w:r>
      <w:r w:rsidR="00803E5E" w:rsidRPr="00342033">
        <w:t>student leadership conference</w:t>
      </w:r>
      <w:r w:rsidR="00803E5E">
        <w:t>; case competitions; establishment of the School of Business Curriculum Committee; development across all courses of department learning outcomes.</w:t>
      </w:r>
    </w:p>
    <w:p w:rsidR="00E55840" w:rsidRPr="00E55840" w:rsidRDefault="00E55840" w:rsidP="00E558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Institutional Priorities</w:t>
      </w:r>
    </w:p>
    <w:p w:rsidR="00A15BA9" w:rsidRPr="007D2A43" w:rsidRDefault="006C7E9C" w:rsidP="008C655A">
      <w:pPr>
        <w:pStyle w:val="ListParagraph"/>
        <w:numPr>
          <w:ilvl w:val="0"/>
          <w:numId w:val="6"/>
        </w:numPr>
      </w:pPr>
      <w:proofErr w:type="gramStart"/>
      <w:r w:rsidRPr="007D2A43">
        <w:lastRenderedPageBreak/>
        <w:t>Faculty of Management are</w:t>
      </w:r>
      <w:proofErr w:type="gramEnd"/>
      <w:r w:rsidRPr="007D2A43">
        <w:t xml:space="preserve"> l</w:t>
      </w:r>
      <w:r w:rsidR="00A15BA9" w:rsidRPr="007D2A43">
        <w:t xml:space="preserve">eaders at VIU in initiatives for student retention </w:t>
      </w:r>
      <w:r w:rsidR="00EB73AD" w:rsidRPr="007D2A43">
        <w:t xml:space="preserve">and recruitment </w:t>
      </w:r>
      <w:r w:rsidR="00A15BA9" w:rsidRPr="007D2A43">
        <w:t>(Pebbles and Jump Start</w:t>
      </w:r>
      <w:r w:rsidRPr="007D2A43">
        <w:t xml:space="preserve"> in the Business Programs</w:t>
      </w:r>
      <w:r w:rsidR="00A15BA9" w:rsidRPr="007D2A43">
        <w:t>)</w:t>
      </w:r>
      <w:r w:rsidR="00F462E8" w:rsidRPr="007D2A43">
        <w:t>.</w:t>
      </w:r>
    </w:p>
    <w:p w:rsidR="00A15BA9" w:rsidRDefault="00A15BA9" w:rsidP="008C655A">
      <w:pPr>
        <w:pStyle w:val="ListParagraph"/>
        <w:numPr>
          <w:ilvl w:val="0"/>
          <w:numId w:val="6"/>
        </w:numPr>
      </w:pPr>
      <w:r>
        <w:t>Programs to enhance student engagement, learning and succ</w:t>
      </w:r>
      <w:r w:rsidR="00EB73AD">
        <w:t>ess (international partnerships;</w:t>
      </w:r>
      <w:r>
        <w:t xml:space="preserve"> </w:t>
      </w:r>
      <w:r w:rsidR="00EB73AD">
        <w:t xml:space="preserve">memberships in the Nanaimo </w:t>
      </w:r>
      <w:r>
        <w:t>Chamber of Commerce, Nanaimo E</w:t>
      </w:r>
      <w:r w:rsidR="00EB73AD">
        <w:t xml:space="preserve">conomic Development Corporation and professional bodies as well as </w:t>
      </w:r>
      <w:r>
        <w:t>community engagement</w:t>
      </w:r>
      <w:r w:rsidR="006C7E9C">
        <w:t>—</w:t>
      </w:r>
      <w:r w:rsidR="00342033">
        <w:t xml:space="preserve">applied </w:t>
      </w:r>
      <w:r w:rsidR="006C7E9C">
        <w:t>research projects, etc.</w:t>
      </w:r>
      <w:r w:rsidR="00EB73AD">
        <w:t>)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288"/>
        <w:gridCol w:w="2880"/>
        <w:gridCol w:w="2430"/>
        <w:gridCol w:w="1247"/>
        <w:gridCol w:w="1247"/>
        <w:gridCol w:w="1248"/>
        <w:gridCol w:w="236"/>
      </w:tblGrid>
      <w:tr w:rsidR="000D1F00" w:rsidRPr="003D73F6" w:rsidTr="00932EDF">
        <w:trPr>
          <w:trHeight w:val="108"/>
        </w:trPr>
        <w:tc>
          <w:tcPr>
            <w:tcW w:w="288" w:type="dxa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365F91" w:themeFill="accent1" w:themeFillShade="BF"/>
            <w:vAlign w:val="center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24" w:type="dxa"/>
            <w:gridSpan w:val="3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D1F00" w:rsidRPr="000D1F00" w:rsidTr="00932EDF">
        <w:trPr>
          <w:trHeight w:val="360"/>
        </w:trPr>
        <w:tc>
          <w:tcPr>
            <w:tcW w:w="288" w:type="dxa"/>
            <w:shd w:val="clear" w:color="auto" w:fill="365F91" w:themeFill="accent1" w:themeFillShade="BF"/>
          </w:tcPr>
          <w:p w:rsidR="000D1F00" w:rsidRPr="000D1F00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365F91" w:themeFill="accent1" w:themeFillShade="BF"/>
            <w:vAlign w:val="center"/>
          </w:tcPr>
          <w:p w:rsidR="000D1F00" w:rsidRPr="00462722" w:rsidRDefault="000D1F00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462722">
              <w:rPr>
                <w:b/>
                <w:i/>
                <w:color w:val="FFFFFF" w:themeColor="background1"/>
                <w:sz w:val="24"/>
                <w:szCs w:val="24"/>
              </w:rPr>
              <w:t>Dean’s Recommendation</w:t>
            </w:r>
          </w:p>
        </w:tc>
        <w:tc>
          <w:tcPr>
            <w:tcW w:w="4924" w:type="dxa"/>
            <w:gridSpan w:val="3"/>
            <w:shd w:val="clear" w:color="auto" w:fill="365F91" w:themeFill="accent1" w:themeFillShade="BF"/>
          </w:tcPr>
          <w:p w:rsidR="000D1F00" w:rsidRPr="000D1F00" w:rsidRDefault="00160DA1" w:rsidP="00E55840">
            <w:pPr>
              <w:rPr>
                <w:color w:val="FFFFFF" w:themeColor="background1"/>
              </w:rPr>
            </w:pPr>
            <w:r w:rsidRPr="00160DA1">
              <w:rPr>
                <w:noProof/>
                <w:color w:val="FFFFFF" w:themeColor="background1"/>
              </w:rPr>
            </w:r>
            <w:r>
              <w:rPr>
                <w:noProof/>
                <w:color w:val="FFFFFF" w:themeColor="background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width:192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">
                  <v:textbox>
                    <w:txbxContent>
                      <w:p w:rsidR="004D1306" w:rsidRDefault="004D1306" w:rsidP="00932EDF">
                        <w:r>
                          <w:t>Expand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48" w:type="dxa"/>
            <w:shd w:val="clear" w:color="auto" w:fill="365F91" w:themeFill="accent1" w:themeFillShade="BF"/>
          </w:tcPr>
          <w:p w:rsidR="000D1F00" w:rsidRPr="000D1F00" w:rsidRDefault="000D1F00" w:rsidP="00E55840">
            <w:pPr>
              <w:rPr>
                <w:color w:val="FFFFFF" w:themeColor="background1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0D1F00" w:rsidRPr="000D1F00" w:rsidRDefault="000D1F00" w:rsidP="00E55840">
            <w:pPr>
              <w:rPr>
                <w:color w:val="FFFFFF" w:themeColor="background1"/>
              </w:rPr>
            </w:pPr>
          </w:p>
        </w:tc>
      </w:tr>
      <w:tr w:rsidR="000D1F00" w:rsidRPr="003D73F6" w:rsidTr="000D1F00">
        <w:trPr>
          <w:trHeight w:val="180"/>
        </w:trPr>
        <w:tc>
          <w:tcPr>
            <w:tcW w:w="288" w:type="dxa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365F91" w:themeFill="accent1" w:themeFillShade="BF"/>
            <w:vAlign w:val="center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24" w:type="dxa"/>
            <w:gridSpan w:val="3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0D1F00" w:rsidRPr="003D73F6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462722" w:rsidRPr="000D1F00" w:rsidTr="00462722">
        <w:trPr>
          <w:trHeight w:val="2862"/>
        </w:trPr>
        <w:tc>
          <w:tcPr>
            <w:tcW w:w="288" w:type="dxa"/>
            <w:shd w:val="clear" w:color="auto" w:fill="365F91" w:themeFill="accent1" w:themeFillShade="BF"/>
          </w:tcPr>
          <w:p w:rsidR="00462722" w:rsidRPr="000D1F00" w:rsidRDefault="00462722" w:rsidP="00E55840">
            <w:pPr>
              <w:rPr>
                <w:color w:val="FFFFFF" w:themeColor="background1"/>
              </w:rPr>
            </w:pPr>
          </w:p>
        </w:tc>
        <w:tc>
          <w:tcPr>
            <w:tcW w:w="9052" w:type="dxa"/>
            <w:gridSpan w:val="5"/>
            <w:shd w:val="clear" w:color="auto" w:fill="auto"/>
          </w:tcPr>
          <w:p w:rsidR="00462722" w:rsidRPr="00462722" w:rsidRDefault="004D1306" w:rsidP="00F44CB2">
            <w:r>
              <w:t>Mai</w:t>
            </w:r>
            <w:r w:rsidR="00F44CB2">
              <w:t xml:space="preserve">ntain with continued growth of three to five </w:t>
            </w:r>
            <w:r>
              <w:t>% per year. By the budget year 2015-2</w:t>
            </w:r>
            <w:r w:rsidR="00C80C10">
              <w:t>016, an additional t</w:t>
            </w:r>
            <w:r w:rsidR="00F44CB2">
              <w:t>h</w:t>
            </w:r>
            <w:r w:rsidR="00C80C10">
              <w:t>ree</w:t>
            </w:r>
            <w:r w:rsidR="00F44CB2">
              <w:t xml:space="preserve"> to </w:t>
            </w:r>
            <w:r w:rsidR="00C80C10">
              <w:t xml:space="preserve">four </w:t>
            </w:r>
            <w:r>
              <w:t>more faculty FTEs will be required.</w:t>
            </w:r>
          </w:p>
        </w:tc>
        <w:tc>
          <w:tcPr>
            <w:tcW w:w="236" w:type="dxa"/>
            <w:shd w:val="clear" w:color="auto" w:fill="365F91" w:themeFill="accent1" w:themeFillShade="BF"/>
          </w:tcPr>
          <w:p w:rsidR="00462722" w:rsidRPr="000D1F00" w:rsidRDefault="00462722" w:rsidP="00E55840">
            <w:pPr>
              <w:rPr>
                <w:color w:val="FFFFFF" w:themeColor="background1"/>
              </w:rPr>
            </w:pPr>
          </w:p>
        </w:tc>
      </w:tr>
      <w:tr w:rsidR="000D1F00" w:rsidRPr="00462722" w:rsidTr="00462722">
        <w:tc>
          <w:tcPr>
            <w:tcW w:w="288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310" w:type="dxa"/>
            <w:gridSpan w:val="2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462722" w:rsidRPr="00462722" w:rsidTr="00462722">
        <w:tc>
          <w:tcPr>
            <w:tcW w:w="288" w:type="dxa"/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462722">
              <w:rPr>
                <w:b/>
                <w:i/>
                <w:color w:val="FFFFFF" w:themeColor="background1"/>
                <w:sz w:val="24"/>
                <w:szCs w:val="24"/>
              </w:rPr>
              <w:t>2013-14</w:t>
            </w:r>
          </w:p>
        </w:tc>
        <w:tc>
          <w:tcPr>
            <w:tcW w:w="1247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462722">
              <w:rPr>
                <w:b/>
                <w:i/>
                <w:color w:val="FFFFFF" w:themeColor="background1"/>
                <w:sz w:val="24"/>
                <w:szCs w:val="24"/>
              </w:rPr>
              <w:t>2014-15</w:t>
            </w:r>
          </w:p>
        </w:tc>
        <w:tc>
          <w:tcPr>
            <w:tcW w:w="1248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462722">
              <w:rPr>
                <w:b/>
                <w:i/>
                <w:color w:val="FFFFFF" w:themeColor="background1"/>
                <w:sz w:val="24"/>
                <w:szCs w:val="24"/>
              </w:rPr>
              <w:t>2015-16</w:t>
            </w:r>
          </w:p>
        </w:tc>
        <w:tc>
          <w:tcPr>
            <w:tcW w:w="236" w:type="dxa"/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0D1F00" w:rsidRPr="00462722" w:rsidTr="00462722">
        <w:tc>
          <w:tcPr>
            <w:tcW w:w="288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310" w:type="dxa"/>
            <w:gridSpan w:val="2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462722" w:rsidRPr="00462722" w:rsidTr="00462722">
        <w:tc>
          <w:tcPr>
            <w:tcW w:w="288" w:type="dxa"/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462722">
              <w:rPr>
                <w:b/>
                <w:i/>
                <w:color w:val="FFFFFF" w:themeColor="background1"/>
                <w:sz w:val="24"/>
                <w:szCs w:val="24"/>
              </w:rPr>
              <w:t>FTE Targets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22" w:rsidRPr="00462722" w:rsidRDefault="00C80C10" w:rsidP="00462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22" w:rsidRPr="00462722" w:rsidRDefault="00C80C10" w:rsidP="00462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22" w:rsidRPr="00462722" w:rsidRDefault="00C80C10" w:rsidP="00C80C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462722" w:rsidRPr="00462722" w:rsidTr="00462722">
        <w:tc>
          <w:tcPr>
            <w:tcW w:w="288" w:type="dxa"/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310" w:type="dxa"/>
            <w:gridSpan w:val="2"/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462722" w:rsidRPr="00462722" w:rsidRDefault="00462722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0D1F00" w:rsidRPr="00462722" w:rsidTr="00462722">
        <w:tc>
          <w:tcPr>
            <w:tcW w:w="288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0D1F00" w:rsidRPr="00462722" w:rsidRDefault="00462722" w:rsidP="00E5584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462722">
              <w:rPr>
                <w:b/>
                <w:i/>
                <w:color w:val="FFFFFF" w:themeColor="background1"/>
                <w:sz w:val="24"/>
                <w:szCs w:val="24"/>
              </w:rPr>
              <w:t>Estimated Budget Increases or (Decreases)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00" w:rsidRPr="00462722" w:rsidRDefault="000D1F00" w:rsidP="004627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00" w:rsidRPr="00462722" w:rsidRDefault="00CD7541" w:rsidP="00462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00" w:rsidRPr="00462722" w:rsidRDefault="00CD7541" w:rsidP="00462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</w:t>
            </w:r>
            <w:r w:rsidR="00C80C10">
              <w:rPr>
                <w:sz w:val="24"/>
                <w:szCs w:val="24"/>
              </w:rPr>
              <w:t>00,000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D1F00" w:rsidRPr="00462722" w:rsidTr="0071356D">
        <w:trPr>
          <w:cantSplit/>
        </w:trPr>
        <w:tc>
          <w:tcPr>
            <w:tcW w:w="288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310" w:type="dxa"/>
            <w:gridSpan w:val="2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365F91" w:themeFill="accent1" w:themeFillShade="BF"/>
          </w:tcPr>
          <w:p w:rsidR="000D1F00" w:rsidRPr="00462722" w:rsidRDefault="000D1F00" w:rsidP="00E55840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</w:tbl>
    <w:p w:rsidR="00462722" w:rsidRDefault="00462722" w:rsidP="004D1306">
      <w:pPr>
        <w:keepNext/>
      </w:pPr>
    </w:p>
    <w:sectPr w:rsidR="00462722" w:rsidSect="00E5584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4F6"/>
    <w:multiLevelType w:val="hybridMultilevel"/>
    <w:tmpl w:val="A6C8F5CA"/>
    <w:lvl w:ilvl="0" w:tplc="2EE67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6618DA"/>
    <w:multiLevelType w:val="hybridMultilevel"/>
    <w:tmpl w:val="394A3BD8"/>
    <w:lvl w:ilvl="0" w:tplc="2EE67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33432A"/>
    <w:multiLevelType w:val="hybridMultilevel"/>
    <w:tmpl w:val="B7B2C49C"/>
    <w:lvl w:ilvl="0" w:tplc="2EE67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B402FE"/>
    <w:multiLevelType w:val="hybridMultilevel"/>
    <w:tmpl w:val="F2E85CC0"/>
    <w:lvl w:ilvl="0" w:tplc="2EE67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5D43B8"/>
    <w:multiLevelType w:val="hybridMultilevel"/>
    <w:tmpl w:val="3A0413E4"/>
    <w:lvl w:ilvl="0" w:tplc="2EE67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8718EA"/>
    <w:multiLevelType w:val="hybridMultilevel"/>
    <w:tmpl w:val="FF2A9E66"/>
    <w:lvl w:ilvl="0" w:tplc="2EE67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840"/>
    <w:rsid w:val="00002BF4"/>
    <w:rsid w:val="00090FF6"/>
    <w:rsid w:val="000949CC"/>
    <w:rsid w:val="000D1F00"/>
    <w:rsid w:val="000D3169"/>
    <w:rsid w:val="000F36E2"/>
    <w:rsid w:val="000F5295"/>
    <w:rsid w:val="000F56C9"/>
    <w:rsid w:val="00115A2B"/>
    <w:rsid w:val="00160DA1"/>
    <w:rsid w:val="002F4E73"/>
    <w:rsid w:val="00306223"/>
    <w:rsid w:val="0033513F"/>
    <w:rsid w:val="003352DD"/>
    <w:rsid w:val="00342033"/>
    <w:rsid w:val="003D73F6"/>
    <w:rsid w:val="003E1218"/>
    <w:rsid w:val="00462722"/>
    <w:rsid w:val="004D1306"/>
    <w:rsid w:val="0058539F"/>
    <w:rsid w:val="0064019F"/>
    <w:rsid w:val="006B110D"/>
    <w:rsid w:val="006C73F2"/>
    <w:rsid w:val="006C7E9C"/>
    <w:rsid w:val="0071356D"/>
    <w:rsid w:val="00731DEC"/>
    <w:rsid w:val="007D2A43"/>
    <w:rsid w:val="00803E5E"/>
    <w:rsid w:val="0084467D"/>
    <w:rsid w:val="00850C34"/>
    <w:rsid w:val="00855472"/>
    <w:rsid w:val="008669CD"/>
    <w:rsid w:val="008C655A"/>
    <w:rsid w:val="008D1D13"/>
    <w:rsid w:val="008F2B8A"/>
    <w:rsid w:val="00932EDF"/>
    <w:rsid w:val="00987CAA"/>
    <w:rsid w:val="00A15BA9"/>
    <w:rsid w:val="00A26F3C"/>
    <w:rsid w:val="00AA598C"/>
    <w:rsid w:val="00AC1BCE"/>
    <w:rsid w:val="00AF7A76"/>
    <w:rsid w:val="00B15F62"/>
    <w:rsid w:val="00B20883"/>
    <w:rsid w:val="00B414B9"/>
    <w:rsid w:val="00B63D7D"/>
    <w:rsid w:val="00BB77F6"/>
    <w:rsid w:val="00BC524F"/>
    <w:rsid w:val="00C80C10"/>
    <w:rsid w:val="00CA7740"/>
    <w:rsid w:val="00CD7541"/>
    <w:rsid w:val="00CE48CD"/>
    <w:rsid w:val="00CE6C8C"/>
    <w:rsid w:val="00D0070A"/>
    <w:rsid w:val="00D222E7"/>
    <w:rsid w:val="00D756B8"/>
    <w:rsid w:val="00DB0BF7"/>
    <w:rsid w:val="00DC4001"/>
    <w:rsid w:val="00E55840"/>
    <w:rsid w:val="00E72A46"/>
    <w:rsid w:val="00EB3587"/>
    <w:rsid w:val="00EB73AD"/>
    <w:rsid w:val="00F1397E"/>
    <w:rsid w:val="00F376CB"/>
    <w:rsid w:val="00F44CB2"/>
    <w:rsid w:val="00F462E8"/>
    <w:rsid w:val="00FF4F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EDF"/>
    <w:rPr>
      <w:color w:val="808080"/>
    </w:rPr>
  </w:style>
  <w:style w:type="paragraph" w:styleId="ListParagraph">
    <w:name w:val="List Paragraph"/>
    <w:basedOn w:val="Normal"/>
    <w:uiPriority w:val="34"/>
    <w:qFormat/>
    <w:rsid w:val="00866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ED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47B78-5382-4548-BC64-D4225122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Malaspina University-College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Deutscher</dc:creator>
  <cp:keywords/>
  <dc:description/>
  <cp:lastModifiedBy>griffel</cp:lastModifiedBy>
  <cp:revision>9</cp:revision>
  <cp:lastPrinted>2012-05-03T19:54:00Z</cp:lastPrinted>
  <dcterms:created xsi:type="dcterms:W3CDTF">2012-05-03T19:54:00Z</dcterms:created>
  <dcterms:modified xsi:type="dcterms:W3CDTF">2012-06-08T21:24:00Z</dcterms:modified>
</cp:coreProperties>
</file>